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D1D" w:rsidRDefault="00F23D34">
      <w:pPr>
        <w:spacing w:after="0"/>
        <w:jc w:val="center"/>
        <w:rPr>
          <w:rFonts w:ascii="Arial" w:hAnsi="Arial" w:cs="Arial"/>
          <w:b/>
          <w:sz w:val="18"/>
          <w:szCs w:val="18"/>
          <w:lang w:val="en-US"/>
        </w:rPr>
      </w:pPr>
      <w:r>
        <w:rPr>
          <w:rFonts w:ascii="Arial" w:hAnsi="Arial" w:cs="Arial"/>
          <w:b/>
          <w:sz w:val="18"/>
          <w:szCs w:val="18"/>
          <w:lang w:val="en-US"/>
        </w:rPr>
        <w:t>Kinetic and S</w:t>
      </w:r>
      <w:r w:rsidR="002511A9">
        <w:rPr>
          <w:rFonts w:ascii="Arial" w:hAnsi="Arial" w:cs="Arial"/>
          <w:b/>
          <w:sz w:val="18"/>
          <w:szCs w:val="18"/>
          <w:lang w:val="en-US"/>
        </w:rPr>
        <w:t>t</w:t>
      </w:r>
      <w:r>
        <w:rPr>
          <w:rFonts w:ascii="Arial" w:hAnsi="Arial" w:cs="Arial"/>
          <w:b/>
          <w:sz w:val="18"/>
          <w:szCs w:val="18"/>
          <w:lang w:val="en-US"/>
        </w:rPr>
        <w:t>r</w:t>
      </w:r>
      <w:r w:rsidR="002511A9">
        <w:rPr>
          <w:rFonts w:ascii="Arial" w:hAnsi="Arial" w:cs="Arial"/>
          <w:b/>
          <w:sz w:val="18"/>
          <w:szCs w:val="18"/>
          <w:lang w:val="en-US"/>
        </w:rPr>
        <w:t xml:space="preserve">uctural Features of Radical Copolymerization of Acrylonitrile </w:t>
      </w:r>
      <w:r w:rsidR="002F3AF3">
        <w:rPr>
          <w:rFonts w:ascii="Arial" w:hAnsi="Arial" w:cs="Arial"/>
          <w:b/>
          <w:sz w:val="18"/>
          <w:szCs w:val="18"/>
          <w:lang w:val="en-US"/>
        </w:rPr>
        <w:t>with a Heterocyclic Monomer in Solution M</w:t>
      </w:r>
      <w:r w:rsidR="002511A9">
        <w:rPr>
          <w:rFonts w:ascii="Arial" w:hAnsi="Arial" w:cs="Arial"/>
          <w:b/>
          <w:sz w:val="18"/>
          <w:szCs w:val="18"/>
          <w:lang w:val="en-US"/>
        </w:rPr>
        <w:t>edia</w:t>
      </w:r>
    </w:p>
    <w:p w:rsidR="00583D1D" w:rsidRDefault="00583D1D">
      <w:pPr>
        <w:spacing w:after="0"/>
        <w:jc w:val="center"/>
        <w:rPr>
          <w:rFonts w:ascii="Arial" w:hAnsi="Arial" w:cs="Arial"/>
          <w:b/>
          <w:sz w:val="18"/>
          <w:szCs w:val="18"/>
          <w:lang w:val="en-US"/>
        </w:rPr>
      </w:pPr>
    </w:p>
    <w:p w:rsidR="00583D1D" w:rsidRDefault="002511A9">
      <w:pPr>
        <w:spacing w:after="0"/>
        <w:jc w:val="center"/>
        <w:rPr>
          <w:rFonts w:ascii="Arial" w:hAnsi="Arial" w:cs="Arial"/>
          <w:i/>
          <w:sz w:val="18"/>
          <w:szCs w:val="18"/>
          <w:vertAlign w:val="superscript"/>
          <w:lang w:val="en-US"/>
        </w:rPr>
      </w:pPr>
      <w:proofErr w:type="spellStart"/>
      <w:r>
        <w:rPr>
          <w:rFonts w:ascii="Arial" w:hAnsi="Arial" w:cs="Arial"/>
          <w:i/>
          <w:sz w:val="18"/>
          <w:szCs w:val="18"/>
          <w:lang w:val="en-US"/>
        </w:rPr>
        <w:t>L.</w:t>
      </w:r>
      <w:proofErr w:type="gramStart"/>
      <w:r>
        <w:rPr>
          <w:rFonts w:ascii="Arial" w:hAnsi="Arial" w:cs="Arial"/>
          <w:i/>
          <w:sz w:val="18"/>
          <w:szCs w:val="18"/>
          <w:lang w:val="en-US"/>
        </w:rPr>
        <w:t>K.Makhkamova</w:t>
      </w:r>
      <w:proofErr w:type="spellEnd"/>
      <w:proofErr w:type="gramEnd"/>
      <w:r>
        <w:rPr>
          <w:rFonts w:ascii="Arial" w:hAnsi="Arial" w:cs="Arial"/>
          <w:i/>
          <w:sz w:val="18"/>
          <w:szCs w:val="18"/>
          <w:lang w:val="en-US"/>
        </w:rPr>
        <w:t xml:space="preserve"> </w:t>
      </w:r>
    </w:p>
    <w:p w:rsidR="00583D1D" w:rsidRDefault="002511A9">
      <w:pPr>
        <w:spacing w:after="0"/>
        <w:jc w:val="center"/>
        <w:rPr>
          <w:rFonts w:ascii="Arial" w:hAnsi="Arial" w:cs="Arial"/>
          <w:i/>
          <w:sz w:val="18"/>
          <w:szCs w:val="18"/>
          <w:lang w:val="en-US"/>
        </w:rPr>
      </w:pPr>
      <w:r>
        <w:rPr>
          <w:rFonts w:ascii="Arial" w:hAnsi="Arial" w:cs="Arial"/>
          <w:i/>
          <w:sz w:val="18"/>
          <w:szCs w:val="18"/>
          <w:lang w:val="en-US"/>
        </w:rPr>
        <w:t>Tashkent institute chemical technology</w:t>
      </w:r>
    </w:p>
    <w:p w:rsidR="00583D1D" w:rsidRDefault="002511A9">
      <w:pPr>
        <w:spacing w:after="0"/>
        <w:jc w:val="center"/>
        <w:rPr>
          <w:rFonts w:ascii="Arial" w:hAnsi="Arial" w:cs="Arial"/>
          <w:i/>
          <w:sz w:val="18"/>
          <w:szCs w:val="18"/>
          <w:lang w:val="en-US"/>
        </w:rPr>
      </w:pPr>
      <w:r>
        <w:rPr>
          <w:rFonts w:ascii="Arial" w:hAnsi="Arial" w:cs="Arial"/>
          <w:i/>
          <w:sz w:val="18"/>
          <w:szCs w:val="18"/>
          <w:lang w:val="en-US"/>
        </w:rPr>
        <w:t xml:space="preserve"> </w:t>
      </w:r>
      <w:proofErr w:type="spellStart"/>
      <w:r>
        <w:rPr>
          <w:rFonts w:ascii="Arial" w:hAnsi="Arial" w:cs="Arial"/>
          <w:i/>
          <w:sz w:val="18"/>
          <w:szCs w:val="18"/>
          <w:lang w:val="en-US"/>
        </w:rPr>
        <w:t>Navoi</w:t>
      </w:r>
      <w:proofErr w:type="spellEnd"/>
      <w:r>
        <w:rPr>
          <w:rFonts w:ascii="Arial" w:hAnsi="Arial" w:cs="Arial"/>
          <w:i/>
          <w:sz w:val="18"/>
          <w:szCs w:val="18"/>
          <w:lang w:val="en-US"/>
        </w:rPr>
        <w:t xml:space="preserve"> Street, 32, Tashkent, Uzbekistan, 100011</w:t>
      </w:r>
    </w:p>
    <w:p w:rsidR="00583D1D" w:rsidRDefault="002511A9">
      <w:pPr>
        <w:spacing w:after="0"/>
        <w:jc w:val="center"/>
        <w:rPr>
          <w:rFonts w:ascii="Arial" w:hAnsi="Arial" w:cs="Arial"/>
          <w:i/>
          <w:iCs/>
          <w:sz w:val="18"/>
          <w:szCs w:val="18"/>
          <w:lang w:val="en-US"/>
        </w:rPr>
      </w:pPr>
      <w:r>
        <w:rPr>
          <w:rFonts w:ascii="Arial" w:hAnsi="Arial" w:cs="Arial"/>
          <w:i/>
          <w:iCs/>
          <w:sz w:val="18"/>
          <w:szCs w:val="18"/>
          <w:lang w:val="en-US"/>
        </w:rPr>
        <w:t xml:space="preserve"> </w:t>
      </w:r>
      <w:hyperlink r:id="rId4">
        <w:r>
          <w:rPr>
            <w:rStyle w:val="a3"/>
            <w:rFonts w:ascii="Arial" w:hAnsi="Arial" w:cs="Arial"/>
            <w:i/>
            <w:iCs/>
            <w:sz w:val="18"/>
            <w:szCs w:val="18"/>
            <w:lang w:val="en-US"/>
          </w:rPr>
          <w:t>l.maxkamova@mail.ru</w:t>
        </w:r>
      </w:hyperlink>
      <w:r>
        <w:rPr>
          <w:rFonts w:ascii="Arial" w:hAnsi="Arial" w:cs="Arial"/>
          <w:i/>
          <w:iCs/>
          <w:sz w:val="18"/>
          <w:szCs w:val="18"/>
          <w:lang w:val="en-US"/>
        </w:rPr>
        <w:t xml:space="preserve"> </w:t>
      </w:r>
    </w:p>
    <w:p w:rsidR="00583D1D" w:rsidRDefault="00583D1D">
      <w:pPr>
        <w:spacing w:after="0"/>
        <w:jc w:val="center"/>
        <w:rPr>
          <w:rFonts w:ascii="Arial" w:hAnsi="Arial" w:cs="Arial"/>
          <w:i/>
          <w:sz w:val="18"/>
          <w:szCs w:val="18"/>
          <w:lang w:val="en-US"/>
        </w:rPr>
      </w:pPr>
    </w:p>
    <w:p w:rsidR="00583D1D" w:rsidRDefault="004117AF">
      <w:pPr>
        <w:spacing w:after="0" w:line="276" w:lineRule="auto"/>
        <w:ind w:firstLine="708"/>
        <w:jc w:val="both"/>
        <w:rPr>
          <w:rFonts w:ascii="Arial" w:hAnsi="Arial" w:cs="Arial"/>
          <w:sz w:val="18"/>
          <w:szCs w:val="18"/>
          <w:lang w:val="en-US"/>
        </w:rPr>
      </w:pPr>
      <w:r w:rsidRPr="004117AF">
        <w:rPr>
          <w:rFonts w:ascii="Arial" w:hAnsi="Arial" w:cs="Arial"/>
          <w:sz w:val="18"/>
          <w:szCs w:val="18"/>
          <w:lang w:val="en-US"/>
        </w:rPr>
        <w:t xml:space="preserve">The free-radical copolymerization of acrylonitrile (AN) with 1-chloro-3-morpholine propyl acrylate (MCPA) was investigated in </w:t>
      </w:r>
      <w:proofErr w:type="spellStart"/>
      <w:r w:rsidRPr="004117AF">
        <w:rPr>
          <w:rFonts w:ascii="Arial" w:hAnsi="Arial" w:cs="Arial"/>
          <w:sz w:val="18"/>
          <w:szCs w:val="18"/>
          <w:lang w:val="en-US"/>
        </w:rPr>
        <w:t>dimethylformamide</w:t>
      </w:r>
      <w:proofErr w:type="spellEnd"/>
      <w:r w:rsidRPr="004117AF">
        <w:rPr>
          <w:rFonts w:ascii="Arial" w:hAnsi="Arial" w:cs="Arial"/>
          <w:sz w:val="18"/>
          <w:szCs w:val="18"/>
          <w:lang w:val="en-US"/>
        </w:rPr>
        <w:t xml:space="preserve"> (DMF) using ammonium persulfate as the </w:t>
      </w:r>
      <w:proofErr w:type="spellStart"/>
      <w:proofErr w:type="gramStart"/>
      <w:r w:rsidRPr="004117AF">
        <w:rPr>
          <w:rFonts w:ascii="Arial" w:hAnsi="Arial" w:cs="Arial"/>
          <w:sz w:val="18"/>
          <w:szCs w:val="18"/>
          <w:lang w:val="en-US"/>
        </w:rPr>
        <w:t>initiator.</w:t>
      </w:r>
      <w:r w:rsidR="00D177F2" w:rsidRPr="00D177F2">
        <w:rPr>
          <w:rFonts w:ascii="Arial" w:hAnsi="Arial" w:cs="Arial"/>
          <w:sz w:val="18"/>
          <w:szCs w:val="18"/>
          <w:lang w:val="en-US"/>
        </w:rPr>
        <w:t>The</w:t>
      </w:r>
      <w:proofErr w:type="spellEnd"/>
      <w:proofErr w:type="gramEnd"/>
      <w:r w:rsidR="00D177F2" w:rsidRPr="00D177F2">
        <w:rPr>
          <w:rFonts w:ascii="Arial" w:hAnsi="Arial" w:cs="Arial"/>
          <w:sz w:val="18"/>
          <w:szCs w:val="18"/>
          <w:lang w:val="en-US"/>
        </w:rPr>
        <w:t xml:space="preserve"> copolymerization behavior was evaluated by determining monomer conversion as a function of polymerization time at different temperatures. The increase in reaction temperature resulted in a higher polymerization rate and monomer conversion. The monomer reactivity ratios were determined using the </w:t>
      </w:r>
      <w:proofErr w:type="spellStart"/>
      <w:r w:rsidR="00D177F2" w:rsidRPr="00D177F2">
        <w:rPr>
          <w:rFonts w:ascii="Arial" w:hAnsi="Arial" w:cs="Arial"/>
          <w:sz w:val="18"/>
          <w:szCs w:val="18"/>
          <w:lang w:val="en-US"/>
        </w:rPr>
        <w:t>Fineman</w:t>
      </w:r>
      <w:proofErr w:type="spellEnd"/>
      <w:r w:rsidR="00D177F2" w:rsidRPr="00D177F2">
        <w:rPr>
          <w:rFonts w:ascii="Arial" w:hAnsi="Arial" w:cs="Arial"/>
          <w:sz w:val="18"/>
          <w:szCs w:val="18"/>
          <w:lang w:val="en-US"/>
        </w:rPr>
        <w:t xml:space="preserve">–Ross method, confirming the preferential incorporation of MCPA units into the growing copolymer chain. The chemical structure of the synthesized copolymers was confirmed by FTIR and </w:t>
      </w:r>
      <w:r w:rsidR="00D177F2" w:rsidRPr="007861F5">
        <w:rPr>
          <w:rFonts w:ascii="Arial" w:hAnsi="Arial" w:cs="Arial"/>
          <w:bCs/>
          <w:sz w:val="18"/>
          <w:szCs w:val="18"/>
          <w:lang w:val="en-US"/>
        </w:rPr>
        <w:t>¹H NMR</w:t>
      </w:r>
      <w:r w:rsidR="00D177F2" w:rsidRPr="00D177F2">
        <w:rPr>
          <w:rFonts w:ascii="Arial" w:hAnsi="Arial" w:cs="Arial"/>
          <w:sz w:val="18"/>
          <w:szCs w:val="18"/>
          <w:lang w:val="en-US"/>
        </w:rPr>
        <w:t xml:space="preserve"> spectroscopy, while their thermal behavior was evaluated by </w:t>
      </w:r>
      <w:proofErr w:type="spellStart"/>
      <w:r w:rsidR="00D177F2" w:rsidRPr="00D177F2">
        <w:rPr>
          <w:rFonts w:ascii="Arial" w:hAnsi="Arial" w:cs="Arial"/>
          <w:sz w:val="18"/>
          <w:szCs w:val="18"/>
          <w:lang w:val="en-US"/>
        </w:rPr>
        <w:t>thermogravimetric</w:t>
      </w:r>
      <w:proofErr w:type="spellEnd"/>
      <w:r w:rsidR="00D177F2" w:rsidRPr="00D177F2">
        <w:rPr>
          <w:rFonts w:ascii="Arial" w:hAnsi="Arial" w:cs="Arial"/>
          <w:sz w:val="18"/>
          <w:szCs w:val="18"/>
          <w:lang w:val="en-US"/>
        </w:rPr>
        <w:t xml:space="preserve"> analysis (TGA). The TGA results demonstrated a multistage thermal degradation process associated with dehydration, decomposition of side groups, and degradation of the polymer backbone. The obtained results provide new information on the copolymerization behavior, structural characteristics, and thermal stability of AN–MCPA copolymers, demonstrating their potential for the preparation of functional polymeric materials.</w:t>
      </w:r>
    </w:p>
    <w:p w:rsidR="007C00E3" w:rsidRDefault="007C00E3">
      <w:pPr>
        <w:spacing w:after="0" w:line="276" w:lineRule="auto"/>
        <w:jc w:val="both"/>
        <w:rPr>
          <w:rFonts w:ascii="Arial" w:hAnsi="Arial" w:cs="Arial"/>
          <w:b/>
          <w:sz w:val="18"/>
          <w:szCs w:val="18"/>
          <w:lang w:val="en-US"/>
        </w:rPr>
      </w:pPr>
    </w:p>
    <w:p w:rsidR="00583D1D" w:rsidRDefault="002511A9">
      <w:pPr>
        <w:spacing w:after="0" w:line="276" w:lineRule="auto"/>
        <w:jc w:val="both"/>
        <w:rPr>
          <w:rFonts w:ascii="Arial" w:hAnsi="Arial" w:cs="Arial"/>
          <w:b/>
          <w:sz w:val="18"/>
          <w:szCs w:val="18"/>
          <w:lang w:val="en-US"/>
        </w:rPr>
      </w:pPr>
      <w:r>
        <w:rPr>
          <w:rFonts w:ascii="Arial" w:hAnsi="Arial" w:cs="Arial"/>
          <w:b/>
          <w:sz w:val="18"/>
          <w:szCs w:val="18"/>
          <w:lang w:val="en-US"/>
        </w:rPr>
        <w:t>1.Introduction</w:t>
      </w:r>
    </w:p>
    <w:p w:rsidR="007861F5" w:rsidRPr="007861F5" w:rsidRDefault="007861F5" w:rsidP="007861F5">
      <w:pPr>
        <w:spacing w:after="0" w:line="276" w:lineRule="auto"/>
        <w:ind w:firstLine="708"/>
        <w:jc w:val="both"/>
        <w:rPr>
          <w:rFonts w:ascii="Arial" w:hAnsi="Arial" w:cs="Arial"/>
          <w:sz w:val="18"/>
          <w:szCs w:val="18"/>
          <w:lang w:val="en-US"/>
        </w:rPr>
      </w:pPr>
      <w:r w:rsidRPr="007861F5">
        <w:rPr>
          <w:rFonts w:ascii="Arial" w:hAnsi="Arial" w:cs="Arial"/>
          <w:sz w:val="18"/>
          <w:szCs w:val="18"/>
          <w:lang w:val="en-US"/>
        </w:rPr>
        <w:t xml:space="preserve">Radical copolymerization is one of the most effective methods for the synthesis of functional polymeric materials with controlled composition and tailored physicochemical properties. The incorporation of heterocyclic monomers containing nitrogen, oxygen, or sulfur atoms into polymer chains significantly improves their thermal stability, chemical resistance, and functional characteristics. Owing to these advantages, radical copolymerization of heterocyclic vinyl monomers has attracted considerable attention in polymer chemistry and materials science (Wang and </w:t>
      </w:r>
      <w:proofErr w:type="spellStart"/>
      <w:r w:rsidRPr="007861F5">
        <w:rPr>
          <w:rFonts w:ascii="Arial" w:hAnsi="Arial" w:cs="Arial"/>
          <w:sz w:val="18"/>
          <w:szCs w:val="18"/>
          <w:lang w:val="en-US"/>
        </w:rPr>
        <w:t>Debuigne</w:t>
      </w:r>
      <w:proofErr w:type="spellEnd"/>
      <w:r w:rsidRPr="007861F5">
        <w:rPr>
          <w:rFonts w:ascii="Arial" w:hAnsi="Arial" w:cs="Arial"/>
          <w:sz w:val="18"/>
          <w:szCs w:val="18"/>
          <w:lang w:val="en-US"/>
        </w:rPr>
        <w:t xml:space="preserve">, 2023; </w:t>
      </w:r>
      <w:proofErr w:type="spellStart"/>
      <w:r w:rsidRPr="007861F5">
        <w:rPr>
          <w:rFonts w:ascii="Arial" w:hAnsi="Arial" w:cs="Arial"/>
          <w:sz w:val="18"/>
          <w:szCs w:val="18"/>
          <w:lang w:val="en-US"/>
        </w:rPr>
        <w:t>Suhara</w:t>
      </w:r>
      <w:proofErr w:type="spellEnd"/>
      <w:r w:rsidRPr="007861F5">
        <w:rPr>
          <w:rFonts w:ascii="Arial" w:hAnsi="Arial" w:cs="Arial"/>
          <w:sz w:val="18"/>
          <w:szCs w:val="18"/>
          <w:lang w:val="en-US"/>
        </w:rPr>
        <w:t xml:space="preserve"> et al., 2026).</w:t>
      </w:r>
    </w:p>
    <w:p w:rsidR="007861F5" w:rsidRPr="004F22E2" w:rsidRDefault="007861F5" w:rsidP="007861F5">
      <w:pPr>
        <w:spacing w:after="0" w:line="276" w:lineRule="auto"/>
        <w:ind w:firstLine="708"/>
        <w:jc w:val="both"/>
        <w:rPr>
          <w:rFonts w:ascii="Arial" w:hAnsi="Arial" w:cs="Arial"/>
          <w:sz w:val="18"/>
          <w:szCs w:val="18"/>
          <w:lang w:val="en-US"/>
        </w:rPr>
      </w:pPr>
      <w:r w:rsidRPr="007861F5">
        <w:rPr>
          <w:rFonts w:ascii="Arial" w:hAnsi="Arial" w:cs="Arial"/>
          <w:sz w:val="18"/>
          <w:szCs w:val="18"/>
          <w:lang w:val="en-US"/>
        </w:rPr>
        <w:t xml:space="preserve">Recent studies have demonstrated that heterocyclic acrylate monomers can successfully participate in free-radical copolymerization with vinyl monomers, producing copolymers with improved structural and functional properties. </w:t>
      </w:r>
      <w:proofErr w:type="spellStart"/>
      <w:r w:rsidRPr="007861F5">
        <w:rPr>
          <w:rFonts w:ascii="Arial" w:hAnsi="Arial" w:cs="Arial"/>
          <w:sz w:val="18"/>
          <w:szCs w:val="18"/>
          <w:lang w:val="en-US"/>
        </w:rPr>
        <w:t>Suhara</w:t>
      </w:r>
      <w:proofErr w:type="spellEnd"/>
      <w:r w:rsidRPr="007861F5">
        <w:rPr>
          <w:rFonts w:ascii="Arial" w:hAnsi="Arial" w:cs="Arial"/>
          <w:sz w:val="18"/>
          <w:szCs w:val="18"/>
          <w:lang w:val="en-US"/>
        </w:rPr>
        <w:t xml:space="preserve"> et al. (2026) synthesized high-refractive-index copolymers based on aromatic heterocyclic monomers, demonstrating the potential of heterocyclic structures for developing advanced functional polymers. Wang and </w:t>
      </w:r>
      <w:proofErr w:type="spellStart"/>
      <w:r w:rsidRPr="007861F5">
        <w:rPr>
          <w:rFonts w:ascii="Arial" w:hAnsi="Arial" w:cs="Arial"/>
          <w:sz w:val="18"/>
          <w:szCs w:val="18"/>
          <w:lang w:val="en-US"/>
        </w:rPr>
        <w:t>Debuigne</w:t>
      </w:r>
      <w:proofErr w:type="spellEnd"/>
      <w:r w:rsidRPr="007861F5">
        <w:rPr>
          <w:rFonts w:ascii="Arial" w:hAnsi="Arial" w:cs="Arial"/>
          <w:sz w:val="18"/>
          <w:szCs w:val="18"/>
          <w:lang w:val="en-US"/>
        </w:rPr>
        <w:t xml:space="preserve"> (2023) reported that </w:t>
      </w:r>
      <w:proofErr w:type="spellStart"/>
      <w:r w:rsidRPr="007861F5">
        <w:rPr>
          <w:rFonts w:ascii="Arial" w:hAnsi="Arial" w:cs="Arial"/>
          <w:sz w:val="18"/>
          <w:szCs w:val="18"/>
          <w:lang w:val="en-US"/>
        </w:rPr>
        <w:t>exo</w:t>
      </w:r>
      <w:proofErr w:type="spellEnd"/>
      <w:r w:rsidRPr="007861F5">
        <w:rPr>
          <w:rFonts w:ascii="Arial" w:hAnsi="Arial" w:cs="Arial"/>
          <w:sz w:val="18"/>
          <w:szCs w:val="18"/>
          <w:lang w:val="en-US"/>
        </w:rPr>
        <w:t>-methylene heterocyclic compounds undergo both radical ring-retaining and radical ring-opening polymerization, providing new opportunities for the design of functional polymer architectures.</w:t>
      </w:r>
      <w:r w:rsidR="00006F5A" w:rsidRPr="00006F5A">
        <w:rPr>
          <w:lang w:val="en-US"/>
        </w:rPr>
        <w:t xml:space="preserve"> </w:t>
      </w:r>
      <w:r w:rsidR="00006F5A" w:rsidRPr="00006F5A">
        <w:rPr>
          <w:rFonts w:ascii="Arial" w:hAnsi="Arial" w:cs="Arial"/>
          <w:sz w:val="18"/>
          <w:szCs w:val="18"/>
          <w:lang w:val="en-US"/>
        </w:rPr>
        <w:t xml:space="preserve">The development of functional polymeric materials has also attracted considerable attention in energy-related applications. Functional polymers and polymer-derived carbon materials have recently been employed as efficient precursors for advanced </w:t>
      </w:r>
      <w:proofErr w:type="spellStart"/>
      <w:r w:rsidR="00006F5A" w:rsidRPr="00006F5A">
        <w:rPr>
          <w:rFonts w:ascii="Arial" w:hAnsi="Arial" w:cs="Arial"/>
          <w:sz w:val="18"/>
          <w:szCs w:val="18"/>
          <w:lang w:val="en-US"/>
        </w:rPr>
        <w:t>electrocatalysts</w:t>
      </w:r>
      <w:proofErr w:type="spellEnd"/>
      <w:r w:rsidR="00006F5A" w:rsidRPr="00006F5A">
        <w:rPr>
          <w:rFonts w:ascii="Arial" w:hAnsi="Arial" w:cs="Arial"/>
          <w:sz w:val="18"/>
          <w:szCs w:val="18"/>
          <w:lang w:val="en-US"/>
        </w:rPr>
        <w:t xml:space="preserve"> used in sustainable hydrogen production. For example, </w:t>
      </w:r>
      <w:proofErr w:type="spellStart"/>
      <w:r w:rsidR="00006F5A" w:rsidRPr="00006F5A">
        <w:rPr>
          <w:rFonts w:ascii="Arial" w:hAnsi="Arial" w:cs="Arial"/>
          <w:sz w:val="18"/>
          <w:szCs w:val="18"/>
          <w:lang w:val="en-US"/>
        </w:rPr>
        <w:t>Hubaish</w:t>
      </w:r>
      <w:proofErr w:type="spellEnd"/>
      <w:r w:rsidR="00006F5A" w:rsidRPr="00006F5A">
        <w:rPr>
          <w:rFonts w:ascii="Arial" w:hAnsi="Arial" w:cs="Arial"/>
          <w:sz w:val="18"/>
          <w:szCs w:val="18"/>
          <w:lang w:val="en-US"/>
        </w:rPr>
        <w:t xml:space="preserve"> et al. (2026) demonstrated that boron-doped porous carbon </w:t>
      </w:r>
      <w:proofErr w:type="spellStart"/>
      <w:r w:rsidR="00006F5A" w:rsidRPr="00006F5A">
        <w:rPr>
          <w:rFonts w:ascii="Arial" w:hAnsi="Arial" w:cs="Arial"/>
          <w:sz w:val="18"/>
          <w:szCs w:val="18"/>
          <w:lang w:val="en-US"/>
        </w:rPr>
        <w:t>nanoflakes</w:t>
      </w:r>
      <w:proofErr w:type="spellEnd"/>
      <w:r w:rsidR="00006F5A" w:rsidRPr="00006F5A">
        <w:rPr>
          <w:rFonts w:ascii="Arial" w:hAnsi="Arial" w:cs="Arial"/>
          <w:sz w:val="18"/>
          <w:szCs w:val="18"/>
          <w:lang w:val="en-US"/>
        </w:rPr>
        <w:t xml:space="preserve"> derived from polymer-containing carbon fabrics exhibit excellent </w:t>
      </w:r>
      <w:proofErr w:type="spellStart"/>
      <w:r w:rsidR="00006F5A" w:rsidRPr="00006F5A">
        <w:rPr>
          <w:rFonts w:ascii="Arial" w:hAnsi="Arial" w:cs="Arial"/>
          <w:sz w:val="18"/>
          <w:szCs w:val="18"/>
          <w:lang w:val="en-US"/>
        </w:rPr>
        <w:t>electrocatalytic</w:t>
      </w:r>
      <w:proofErr w:type="spellEnd"/>
      <w:r w:rsidR="00006F5A" w:rsidRPr="00006F5A">
        <w:rPr>
          <w:rFonts w:ascii="Arial" w:hAnsi="Arial" w:cs="Arial"/>
          <w:sz w:val="18"/>
          <w:szCs w:val="18"/>
          <w:lang w:val="en-US"/>
        </w:rPr>
        <w:t xml:space="preserve"> activity toward the hydrogen evolution reaction</w:t>
      </w:r>
      <w:r w:rsidR="00006F5A">
        <w:rPr>
          <w:rFonts w:ascii="Arial" w:hAnsi="Arial" w:cs="Arial"/>
          <w:sz w:val="18"/>
          <w:szCs w:val="18"/>
          <w:lang w:val="en-US"/>
        </w:rPr>
        <w:t xml:space="preserve"> </w:t>
      </w:r>
      <w:r w:rsidR="00006F5A" w:rsidRPr="00006F5A">
        <w:rPr>
          <w:rFonts w:ascii="Arial" w:hAnsi="Arial" w:cs="Arial"/>
          <w:sz w:val="18"/>
          <w:szCs w:val="18"/>
          <w:lang w:val="en-US"/>
        </w:rPr>
        <w:t>(</w:t>
      </w:r>
      <w:proofErr w:type="spellStart"/>
      <w:r w:rsidR="00006F5A" w:rsidRPr="00006F5A">
        <w:rPr>
          <w:rFonts w:ascii="Arial" w:hAnsi="Arial" w:cs="Arial"/>
          <w:sz w:val="18"/>
          <w:szCs w:val="18"/>
          <w:lang w:val="en-US"/>
        </w:rPr>
        <w:t>Hubaish</w:t>
      </w:r>
      <w:proofErr w:type="spellEnd"/>
      <w:r w:rsidR="00006F5A" w:rsidRPr="00006F5A">
        <w:rPr>
          <w:rFonts w:ascii="Arial" w:hAnsi="Arial" w:cs="Arial"/>
          <w:sz w:val="18"/>
          <w:szCs w:val="18"/>
          <w:lang w:val="en-US"/>
        </w:rPr>
        <w:t xml:space="preserve"> et al., 2026). These findings further emphasize the importance of designing functional monomers and copolymers with controlled composition and tailored physicochemical properties.</w:t>
      </w:r>
      <w:r w:rsidR="004F22E2" w:rsidRPr="004F22E2">
        <w:rPr>
          <w:lang w:val="en-US"/>
        </w:rPr>
        <w:t xml:space="preserve"> </w:t>
      </w:r>
      <w:r w:rsidR="004F22E2" w:rsidRPr="004F22E2">
        <w:rPr>
          <w:rFonts w:ascii="Arial" w:hAnsi="Arial" w:cs="Arial"/>
          <w:sz w:val="18"/>
          <w:szCs w:val="18"/>
          <w:lang w:val="en-US"/>
        </w:rPr>
        <w:t>In addition to hydrogen production, functional polymer-derived materials have attracted increasing attention for advanced electrochemical energy-storage systems. Polymer-based Si/C composites have recently demonstrated excellent electrochemical performance as anode materials for rechargeable metal-ion batteries, highlighting the importance of designing polymeric precursors with controlled structure and composition (Mahmood et al., 2026).</w:t>
      </w:r>
    </w:p>
    <w:p w:rsidR="007861F5" w:rsidRPr="007861F5" w:rsidRDefault="007861F5" w:rsidP="007861F5">
      <w:pPr>
        <w:spacing w:after="0" w:line="276" w:lineRule="auto"/>
        <w:ind w:firstLine="708"/>
        <w:jc w:val="both"/>
        <w:rPr>
          <w:rFonts w:ascii="Arial" w:hAnsi="Arial" w:cs="Arial"/>
          <w:sz w:val="18"/>
          <w:szCs w:val="18"/>
          <w:lang w:val="en-US"/>
        </w:rPr>
      </w:pPr>
      <w:r w:rsidRPr="007861F5">
        <w:rPr>
          <w:rFonts w:ascii="Arial" w:hAnsi="Arial" w:cs="Arial"/>
          <w:sz w:val="18"/>
          <w:szCs w:val="18"/>
          <w:lang w:val="en-US"/>
        </w:rPr>
        <w:t xml:space="preserve">The determination of monomer reactivity ratios is an important aspect of copolymerization studies because these parameters allow prediction of copolymer composition and sequence distribution. Zhou et al. (1998) successfully applied the </w:t>
      </w:r>
      <w:proofErr w:type="spellStart"/>
      <w:r w:rsidRPr="007861F5">
        <w:rPr>
          <w:rFonts w:ascii="Arial" w:hAnsi="Arial" w:cs="Arial"/>
          <w:sz w:val="18"/>
          <w:szCs w:val="18"/>
          <w:lang w:val="en-US"/>
        </w:rPr>
        <w:t>Fineman</w:t>
      </w:r>
      <w:proofErr w:type="spellEnd"/>
      <w:r w:rsidRPr="007861F5">
        <w:rPr>
          <w:rFonts w:ascii="Arial" w:hAnsi="Arial" w:cs="Arial"/>
          <w:sz w:val="18"/>
          <w:szCs w:val="18"/>
          <w:lang w:val="en-US"/>
        </w:rPr>
        <w:t xml:space="preserve">–Ross method to determine the reactivity ratios of </w:t>
      </w:r>
      <w:proofErr w:type="spellStart"/>
      <w:r w:rsidRPr="007861F5">
        <w:rPr>
          <w:rFonts w:ascii="Arial" w:hAnsi="Arial" w:cs="Arial"/>
          <w:sz w:val="18"/>
          <w:szCs w:val="18"/>
          <w:lang w:val="en-US"/>
        </w:rPr>
        <w:t>thiophene</w:t>
      </w:r>
      <w:proofErr w:type="spellEnd"/>
      <w:r w:rsidRPr="007861F5">
        <w:rPr>
          <w:rFonts w:ascii="Arial" w:hAnsi="Arial" w:cs="Arial"/>
          <w:sz w:val="18"/>
          <w:szCs w:val="18"/>
          <w:lang w:val="en-US"/>
        </w:rPr>
        <w:t xml:space="preserve"> derivatives, while Smith et al. (2005) demonstrated the high reactivity of cyclic acrylate monomers during radical copolymerization using spectroscopic analysis. These studies confirmed that the relative reactivity of </w:t>
      </w:r>
      <w:proofErr w:type="spellStart"/>
      <w:r w:rsidRPr="007861F5">
        <w:rPr>
          <w:rFonts w:ascii="Arial" w:hAnsi="Arial" w:cs="Arial"/>
          <w:sz w:val="18"/>
          <w:szCs w:val="18"/>
          <w:lang w:val="en-US"/>
        </w:rPr>
        <w:t>comonomers</w:t>
      </w:r>
      <w:proofErr w:type="spellEnd"/>
      <w:r w:rsidRPr="007861F5">
        <w:rPr>
          <w:rFonts w:ascii="Arial" w:hAnsi="Arial" w:cs="Arial"/>
          <w:sz w:val="18"/>
          <w:szCs w:val="18"/>
          <w:lang w:val="en-US"/>
        </w:rPr>
        <w:t xml:space="preserve"> strongly influences the structure and properties of the resulting copolymers.</w:t>
      </w:r>
    </w:p>
    <w:p w:rsidR="007861F5" w:rsidRPr="007861F5" w:rsidRDefault="007861F5" w:rsidP="007861F5">
      <w:pPr>
        <w:spacing w:after="0" w:line="276" w:lineRule="auto"/>
        <w:ind w:firstLine="708"/>
        <w:jc w:val="both"/>
        <w:rPr>
          <w:rFonts w:ascii="Arial" w:hAnsi="Arial" w:cs="Arial"/>
          <w:sz w:val="18"/>
          <w:szCs w:val="18"/>
          <w:lang w:val="en-US"/>
        </w:rPr>
      </w:pPr>
      <w:r w:rsidRPr="007861F5">
        <w:rPr>
          <w:rFonts w:ascii="Arial" w:hAnsi="Arial" w:cs="Arial"/>
          <w:sz w:val="18"/>
          <w:szCs w:val="18"/>
          <w:lang w:val="en-US"/>
        </w:rPr>
        <w:t xml:space="preserve">Acrylonitrile-based copolymers remain among the most important industrial polymeric materials due to their excellent mechanical properties, thermal resistance, and chemical stability. Recent investigations have shown that the incorporation of functional </w:t>
      </w:r>
      <w:proofErr w:type="spellStart"/>
      <w:r w:rsidRPr="007861F5">
        <w:rPr>
          <w:rFonts w:ascii="Arial" w:hAnsi="Arial" w:cs="Arial"/>
          <w:sz w:val="18"/>
          <w:szCs w:val="18"/>
          <w:lang w:val="en-US"/>
        </w:rPr>
        <w:t>comonomers</w:t>
      </w:r>
      <w:proofErr w:type="spellEnd"/>
      <w:r w:rsidRPr="007861F5">
        <w:rPr>
          <w:rFonts w:ascii="Arial" w:hAnsi="Arial" w:cs="Arial"/>
          <w:sz w:val="18"/>
          <w:szCs w:val="18"/>
          <w:lang w:val="en-US"/>
        </w:rPr>
        <w:t xml:space="preserve"> can considerably modify their molecular structure and thermal behavior. Liu et al. (2020) demonstrated that functional monomers increase the molecular weight and improve the physical properties of </w:t>
      </w:r>
      <w:proofErr w:type="spellStart"/>
      <w:r w:rsidRPr="007861F5">
        <w:rPr>
          <w:rFonts w:ascii="Arial" w:hAnsi="Arial" w:cs="Arial"/>
          <w:sz w:val="18"/>
          <w:szCs w:val="18"/>
          <w:lang w:val="en-US"/>
        </w:rPr>
        <w:t>polyacrylonitrile</w:t>
      </w:r>
      <w:proofErr w:type="spellEnd"/>
      <w:r w:rsidRPr="007861F5">
        <w:rPr>
          <w:rFonts w:ascii="Arial" w:hAnsi="Arial" w:cs="Arial"/>
          <w:sz w:val="18"/>
          <w:szCs w:val="18"/>
          <w:lang w:val="en-US"/>
        </w:rPr>
        <w:t xml:space="preserve">-based copolymers, whereas </w:t>
      </w:r>
      <w:proofErr w:type="spellStart"/>
      <w:r w:rsidRPr="007861F5">
        <w:rPr>
          <w:rFonts w:ascii="Arial" w:hAnsi="Arial" w:cs="Arial"/>
          <w:sz w:val="18"/>
          <w:szCs w:val="18"/>
          <w:lang w:val="en-US"/>
        </w:rPr>
        <w:t>Tomsa</w:t>
      </w:r>
      <w:proofErr w:type="spellEnd"/>
      <w:r w:rsidRPr="007861F5">
        <w:rPr>
          <w:rFonts w:ascii="Arial" w:hAnsi="Arial" w:cs="Arial"/>
          <w:sz w:val="18"/>
          <w:szCs w:val="18"/>
          <w:lang w:val="en-US"/>
        </w:rPr>
        <w:t xml:space="preserve"> et al. (2020) reported </w:t>
      </w:r>
      <w:r w:rsidRPr="007861F5">
        <w:rPr>
          <w:rFonts w:ascii="Arial" w:hAnsi="Arial" w:cs="Arial"/>
          <w:sz w:val="18"/>
          <w:szCs w:val="18"/>
          <w:lang w:val="en-US"/>
        </w:rPr>
        <w:lastRenderedPageBreak/>
        <w:t xml:space="preserve">that the incorporation of acrylic acid significantly affects the thermal degradation mechanism of acrylonitrile copolymers. Radical polymerization of acrylonitrile in ionic liquid media has also been successfully investigated by </w:t>
      </w:r>
      <w:proofErr w:type="spellStart"/>
      <w:r w:rsidRPr="007861F5">
        <w:rPr>
          <w:rFonts w:ascii="Arial" w:hAnsi="Arial" w:cs="Arial"/>
          <w:sz w:val="18"/>
          <w:szCs w:val="18"/>
          <w:lang w:val="en-US"/>
        </w:rPr>
        <w:t>Vygodsky</w:t>
      </w:r>
      <w:proofErr w:type="spellEnd"/>
      <w:r w:rsidRPr="007861F5">
        <w:rPr>
          <w:rFonts w:ascii="Arial" w:hAnsi="Arial" w:cs="Arial"/>
          <w:sz w:val="18"/>
          <w:szCs w:val="18"/>
          <w:lang w:val="en-US"/>
        </w:rPr>
        <w:t xml:space="preserve"> et al. (2005), demonstrating the influence of reaction medium on polymerization efficiency.</w:t>
      </w:r>
    </w:p>
    <w:p w:rsidR="007861F5" w:rsidRPr="007861F5" w:rsidRDefault="007861F5" w:rsidP="007861F5">
      <w:pPr>
        <w:spacing w:after="0" w:line="276" w:lineRule="auto"/>
        <w:ind w:firstLine="708"/>
        <w:jc w:val="both"/>
        <w:rPr>
          <w:rFonts w:ascii="Arial" w:hAnsi="Arial" w:cs="Arial"/>
          <w:sz w:val="18"/>
          <w:szCs w:val="18"/>
          <w:lang w:val="en-US"/>
        </w:rPr>
      </w:pPr>
      <w:r w:rsidRPr="007861F5">
        <w:rPr>
          <w:rFonts w:ascii="Arial" w:hAnsi="Arial" w:cs="Arial"/>
          <w:sz w:val="18"/>
          <w:szCs w:val="18"/>
          <w:lang w:val="en-US"/>
        </w:rPr>
        <w:t xml:space="preserve">Nitrogen-containing heterocyclic compounds have attracted increasing attention because of their wide practical applications in polymer chemistry, pharmaceuticals, and functional materials (Ye and Zhang, 2019). Functional heterocyclic acrylates containing </w:t>
      </w:r>
      <w:proofErr w:type="spellStart"/>
      <w:r w:rsidRPr="007861F5">
        <w:rPr>
          <w:rFonts w:ascii="Arial" w:hAnsi="Arial" w:cs="Arial"/>
          <w:sz w:val="18"/>
          <w:szCs w:val="18"/>
          <w:lang w:val="en-US"/>
        </w:rPr>
        <w:t>morpholine</w:t>
      </w:r>
      <w:proofErr w:type="spellEnd"/>
      <w:r w:rsidRPr="007861F5">
        <w:rPr>
          <w:rFonts w:ascii="Arial" w:hAnsi="Arial" w:cs="Arial"/>
          <w:sz w:val="18"/>
          <w:szCs w:val="18"/>
          <w:lang w:val="en-US"/>
        </w:rPr>
        <w:t xml:space="preserve"> fragments are especially promising because they combine high polymerization activity with the possibility of introducing polar functional groups into polymer chains.</w:t>
      </w:r>
    </w:p>
    <w:p w:rsidR="007861F5" w:rsidRPr="007861F5" w:rsidRDefault="007861F5" w:rsidP="007861F5">
      <w:pPr>
        <w:spacing w:after="0" w:line="276" w:lineRule="auto"/>
        <w:ind w:firstLine="708"/>
        <w:jc w:val="both"/>
        <w:rPr>
          <w:rFonts w:ascii="Arial" w:hAnsi="Arial" w:cs="Arial"/>
          <w:sz w:val="18"/>
          <w:lang w:val="en-US"/>
        </w:rPr>
      </w:pPr>
      <w:r w:rsidRPr="007861F5">
        <w:rPr>
          <w:rFonts w:ascii="Arial" w:hAnsi="Arial" w:cs="Arial"/>
          <w:sz w:val="18"/>
          <w:lang w:val="en-US"/>
        </w:rPr>
        <w:t xml:space="preserve">Despite numerous studies on acrylonitrile-based copolymers, limited information is available regarding the free-radical copolymerization of acrylonitrile with </w:t>
      </w:r>
      <w:proofErr w:type="spellStart"/>
      <w:r w:rsidRPr="007861F5">
        <w:rPr>
          <w:rFonts w:ascii="Arial" w:hAnsi="Arial" w:cs="Arial"/>
          <w:sz w:val="18"/>
          <w:lang w:val="en-US"/>
        </w:rPr>
        <w:t>morpholine</w:t>
      </w:r>
      <w:proofErr w:type="spellEnd"/>
      <w:r w:rsidRPr="007861F5">
        <w:rPr>
          <w:rFonts w:ascii="Arial" w:hAnsi="Arial" w:cs="Arial"/>
          <w:sz w:val="18"/>
          <w:lang w:val="en-US"/>
        </w:rPr>
        <w:t xml:space="preserve">-containing heterocyclic acrylate monomers. In particular, the effects of the heterocyclic monomer structure on monomer reactivity, copolymer composition, and thermal stability have not been sufficiently elucidated. Therefore, the aim of the present work was to investigate the free-radical copolymerization of acrylonitrile with 1-chloro-3-morpholine propyl acrylate (MCPA), determine the monomer reactivity ratios using the </w:t>
      </w:r>
      <w:proofErr w:type="spellStart"/>
      <w:r w:rsidRPr="007861F5">
        <w:rPr>
          <w:rFonts w:ascii="Arial" w:hAnsi="Arial" w:cs="Arial"/>
          <w:sz w:val="18"/>
          <w:lang w:val="en-US"/>
        </w:rPr>
        <w:t>Fineman</w:t>
      </w:r>
      <w:proofErr w:type="spellEnd"/>
      <w:r w:rsidRPr="007861F5">
        <w:rPr>
          <w:rFonts w:ascii="Arial" w:hAnsi="Arial" w:cs="Arial"/>
          <w:sz w:val="18"/>
          <w:lang w:val="en-US"/>
        </w:rPr>
        <w:t xml:space="preserve">–Ross method, and characterize the synthesized copolymers by FTIR, ¹H NMR, and </w:t>
      </w:r>
      <w:proofErr w:type="spellStart"/>
      <w:r w:rsidRPr="007861F5">
        <w:rPr>
          <w:rFonts w:ascii="Arial" w:hAnsi="Arial" w:cs="Arial"/>
          <w:sz w:val="18"/>
          <w:lang w:val="en-US"/>
        </w:rPr>
        <w:t>thermogravimetric</w:t>
      </w:r>
      <w:proofErr w:type="spellEnd"/>
      <w:r w:rsidRPr="007861F5">
        <w:rPr>
          <w:rFonts w:ascii="Arial" w:hAnsi="Arial" w:cs="Arial"/>
          <w:sz w:val="18"/>
          <w:lang w:val="en-US"/>
        </w:rPr>
        <w:t xml:space="preserve"> analysis (TGA). The obtained results contribute to a better understanding of the structure–property relationships of functional acrylonitrile-based copolymers and provide useful information for the development of advanced polymeric materials.</w:t>
      </w:r>
    </w:p>
    <w:p w:rsidR="007C00E3" w:rsidRDefault="007C00E3">
      <w:pPr>
        <w:spacing w:after="0" w:line="276" w:lineRule="auto"/>
        <w:rPr>
          <w:rFonts w:ascii="Arial" w:hAnsi="Arial" w:cs="Arial"/>
          <w:b/>
          <w:sz w:val="18"/>
          <w:szCs w:val="18"/>
          <w:lang w:val="en-US"/>
        </w:rPr>
      </w:pPr>
    </w:p>
    <w:p w:rsidR="00583D1D" w:rsidRDefault="002511A9">
      <w:pPr>
        <w:spacing w:after="0" w:line="276" w:lineRule="auto"/>
        <w:rPr>
          <w:rFonts w:ascii="Arial" w:hAnsi="Arial" w:cs="Arial"/>
          <w:b/>
          <w:sz w:val="18"/>
          <w:szCs w:val="18"/>
          <w:lang w:val="en-US"/>
        </w:rPr>
      </w:pPr>
      <w:r>
        <w:rPr>
          <w:rFonts w:ascii="Arial" w:hAnsi="Arial" w:cs="Arial"/>
          <w:b/>
          <w:sz w:val="18"/>
          <w:szCs w:val="18"/>
          <w:lang w:val="en-US"/>
        </w:rPr>
        <w:t>2.Methodology</w:t>
      </w:r>
    </w:p>
    <w:p w:rsidR="00F112E0" w:rsidRPr="00F112E0" w:rsidRDefault="00F112E0" w:rsidP="00F112E0">
      <w:pPr>
        <w:widowControl w:val="0"/>
        <w:spacing w:after="0" w:line="276" w:lineRule="auto"/>
        <w:ind w:firstLine="708"/>
        <w:jc w:val="both"/>
        <w:rPr>
          <w:rFonts w:ascii="Arial" w:eastAsia="Times New Roman" w:hAnsi="Arial" w:cs="Arial"/>
          <w:sz w:val="18"/>
          <w:szCs w:val="18"/>
          <w:lang w:val="en-US"/>
        </w:rPr>
      </w:pPr>
      <w:r w:rsidRPr="00F112E0">
        <w:rPr>
          <w:rFonts w:ascii="Arial" w:eastAsia="Times New Roman" w:hAnsi="Arial" w:cs="Arial"/>
          <w:sz w:val="18"/>
          <w:szCs w:val="18"/>
          <w:lang w:val="en-US"/>
        </w:rPr>
        <w:t xml:space="preserve">The free-radical copolymerization of acrylonitrile (AN) with </w:t>
      </w:r>
      <w:r w:rsidRPr="00F112E0">
        <w:rPr>
          <w:rFonts w:ascii="Arial" w:eastAsia="Times New Roman" w:hAnsi="Arial" w:cs="Arial"/>
          <w:bCs/>
          <w:sz w:val="18"/>
          <w:szCs w:val="18"/>
          <w:lang w:val="en-US"/>
        </w:rPr>
        <w:t>1-chloro-3-morpholine propyl acrylate (MCPA)</w:t>
      </w:r>
      <w:r w:rsidRPr="00F112E0">
        <w:rPr>
          <w:rFonts w:ascii="Arial" w:eastAsia="Times New Roman" w:hAnsi="Arial" w:cs="Arial"/>
          <w:sz w:val="18"/>
          <w:szCs w:val="18"/>
          <w:lang w:val="en-US"/>
        </w:rPr>
        <w:t xml:space="preserve"> was carried out in sealed glass tubes. A predetermined amount of </w:t>
      </w:r>
      <w:r w:rsidRPr="00F112E0">
        <w:rPr>
          <w:rFonts w:ascii="Arial" w:eastAsia="Times New Roman" w:hAnsi="Arial" w:cs="Arial"/>
          <w:bCs/>
          <w:sz w:val="18"/>
          <w:szCs w:val="18"/>
          <w:lang w:val="en-US"/>
        </w:rPr>
        <w:t>ammonium persulfate (APS)</w:t>
      </w:r>
      <w:r w:rsidRPr="00F112E0">
        <w:rPr>
          <w:rFonts w:ascii="Arial" w:eastAsia="Times New Roman" w:hAnsi="Arial" w:cs="Arial"/>
          <w:sz w:val="18"/>
          <w:szCs w:val="18"/>
          <w:lang w:val="en-US"/>
        </w:rPr>
        <w:t xml:space="preserve"> was introduced as the initiator, followed by the addition of </w:t>
      </w:r>
      <w:proofErr w:type="spellStart"/>
      <w:r w:rsidRPr="00F112E0">
        <w:rPr>
          <w:rFonts w:ascii="Arial" w:eastAsia="Times New Roman" w:hAnsi="Arial" w:cs="Arial"/>
          <w:sz w:val="18"/>
          <w:szCs w:val="18"/>
          <w:lang w:val="en-US"/>
        </w:rPr>
        <w:t>dimethylformamide</w:t>
      </w:r>
      <w:proofErr w:type="spellEnd"/>
      <w:r w:rsidRPr="00F112E0">
        <w:rPr>
          <w:rFonts w:ascii="Arial" w:eastAsia="Times New Roman" w:hAnsi="Arial" w:cs="Arial"/>
          <w:sz w:val="18"/>
          <w:szCs w:val="18"/>
          <w:lang w:val="en-US"/>
        </w:rPr>
        <w:t xml:space="preserve"> (DMF), acrylonitrile, and MCPA in the required molar ratios. The reaction mixture was stirred until complete dissolution of the initiator, purged with nitrogen to remove dissolved oxygen, sealed, and placed in a thermostatically controlled </w:t>
      </w:r>
      <w:proofErr w:type="spellStart"/>
      <w:r w:rsidRPr="00F112E0">
        <w:rPr>
          <w:rFonts w:ascii="Arial" w:eastAsia="Times New Roman" w:hAnsi="Arial" w:cs="Arial"/>
          <w:sz w:val="18"/>
          <w:szCs w:val="18"/>
          <w:lang w:val="en-US"/>
        </w:rPr>
        <w:t>Wited</w:t>
      </w:r>
      <w:proofErr w:type="spellEnd"/>
      <w:r w:rsidRPr="00F112E0">
        <w:rPr>
          <w:rFonts w:ascii="Arial" w:eastAsia="Times New Roman" w:hAnsi="Arial" w:cs="Arial"/>
          <w:sz w:val="18"/>
          <w:szCs w:val="18"/>
          <w:lang w:val="en-US"/>
        </w:rPr>
        <w:t xml:space="preserve"> thermostat.</w:t>
      </w:r>
    </w:p>
    <w:p w:rsidR="00F112E0" w:rsidRPr="00F112E0" w:rsidRDefault="00F112E0" w:rsidP="00F112E0">
      <w:pPr>
        <w:widowControl w:val="0"/>
        <w:spacing w:after="0" w:line="276" w:lineRule="auto"/>
        <w:ind w:firstLine="708"/>
        <w:jc w:val="both"/>
        <w:rPr>
          <w:rFonts w:ascii="Arial" w:eastAsia="Times New Roman" w:hAnsi="Arial" w:cs="Arial"/>
          <w:sz w:val="18"/>
          <w:szCs w:val="18"/>
          <w:lang w:val="en-US"/>
        </w:rPr>
      </w:pPr>
      <w:r w:rsidRPr="00F112E0">
        <w:rPr>
          <w:rFonts w:ascii="Arial" w:eastAsia="Times New Roman" w:hAnsi="Arial" w:cs="Arial"/>
          <w:sz w:val="18"/>
          <w:szCs w:val="18"/>
          <w:lang w:val="en-US"/>
        </w:rPr>
        <w:t xml:space="preserve">The copolymerization was performed at </w:t>
      </w:r>
      <w:r w:rsidRPr="00F112E0">
        <w:rPr>
          <w:rFonts w:ascii="Arial" w:eastAsia="Times New Roman" w:hAnsi="Arial" w:cs="Arial"/>
          <w:bCs/>
          <w:sz w:val="18"/>
          <w:szCs w:val="18"/>
          <w:lang w:val="en-US"/>
        </w:rPr>
        <w:t>30, 40 and 50 ± 0.1 °C</w:t>
      </w:r>
      <w:r w:rsidRPr="00F112E0">
        <w:rPr>
          <w:rFonts w:ascii="Arial" w:eastAsia="Times New Roman" w:hAnsi="Arial" w:cs="Arial"/>
          <w:sz w:val="18"/>
          <w:szCs w:val="18"/>
          <w:lang w:val="en-US"/>
        </w:rPr>
        <w:t xml:space="preserve">. The reaction was terminated at a monomer conversion of approximately </w:t>
      </w:r>
      <w:r w:rsidRPr="00F112E0">
        <w:rPr>
          <w:rFonts w:ascii="Arial" w:eastAsia="Times New Roman" w:hAnsi="Arial" w:cs="Arial"/>
          <w:bCs/>
          <w:sz w:val="18"/>
          <w:szCs w:val="18"/>
          <w:lang w:val="en-US"/>
        </w:rPr>
        <w:t>7.7%</w:t>
      </w:r>
      <w:r w:rsidRPr="00F112E0">
        <w:rPr>
          <w:rFonts w:ascii="Arial" w:eastAsia="Times New Roman" w:hAnsi="Arial" w:cs="Arial"/>
          <w:sz w:val="18"/>
          <w:szCs w:val="18"/>
          <w:lang w:val="en-US"/>
        </w:rPr>
        <w:t xml:space="preserve"> in order to minimize compositional drift during copolymerization. After cooling to room temperature, the copolymers were precipitated from the DMF solution by adding excess ethanol. The precipitation procedure was repeated twice, after which the precipitated copolymers were filtered and vacuum-dried to constant weight. The obtained copolymers were white powdery solids readily soluble in dimethyl sulfoxide (DMSO), </w:t>
      </w:r>
      <w:proofErr w:type="spellStart"/>
      <w:r w:rsidRPr="00F112E0">
        <w:rPr>
          <w:rFonts w:ascii="Arial" w:eastAsia="Times New Roman" w:hAnsi="Arial" w:cs="Arial"/>
          <w:sz w:val="18"/>
          <w:szCs w:val="18"/>
          <w:lang w:val="en-US"/>
        </w:rPr>
        <w:t>dimethylformamide</w:t>
      </w:r>
      <w:proofErr w:type="spellEnd"/>
      <w:r w:rsidRPr="00F112E0">
        <w:rPr>
          <w:rFonts w:ascii="Arial" w:eastAsia="Times New Roman" w:hAnsi="Arial" w:cs="Arial"/>
          <w:sz w:val="18"/>
          <w:szCs w:val="18"/>
          <w:lang w:val="en-US"/>
        </w:rPr>
        <w:t xml:space="preserve"> (DMF), and acetone. Monomer conversion was determined gravimetrically.</w:t>
      </w:r>
    </w:p>
    <w:p w:rsidR="00F112E0" w:rsidRPr="00F112E0" w:rsidRDefault="00F112E0" w:rsidP="00F112E0">
      <w:pPr>
        <w:widowControl w:val="0"/>
        <w:spacing w:after="0" w:line="276" w:lineRule="auto"/>
        <w:ind w:firstLine="708"/>
        <w:jc w:val="both"/>
        <w:rPr>
          <w:rFonts w:ascii="Arial" w:eastAsia="Times New Roman" w:hAnsi="Arial" w:cs="Arial"/>
          <w:sz w:val="18"/>
          <w:szCs w:val="18"/>
          <w:lang w:val="en-US"/>
        </w:rPr>
      </w:pPr>
      <w:r w:rsidRPr="00F112E0">
        <w:rPr>
          <w:rFonts w:ascii="Arial" w:eastAsia="Times New Roman" w:hAnsi="Arial" w:cs="Arial"/>
          <w:sz w:val="18"/>
          <w:szCs w:val="18"/>
          <w:lang w:val="en-US"/>
        </w:rPr>
        <w:t>Each copolymerization experiment was performed independently in triplicate (</w:t>
      </w:r>
      <w:r w:rsidRPr="00F112E0">
        <w:rPr>
          <w:rFonts w:ascii="Arial" w:eastAsia="Times New Roman" w:hAnsi="Arial" w:cs="Arial"/>
          <w:bCs/>
          <w:sz w:val="18"/>
          <w:szCs w:val="18"/>
          <w:lang w:val="en-US"/>
        </w:rPr>
        <w:t>n = 3</w:t>
      </w:r>
      <w:r w:rsidRPr="00F112E0">
        <w:rPr>
          <w:rFonts w:ascii="Arial" w:eastAsia="Times New Roman" w:hAnsi="Arial" w:cs="Arial"/>
          <w:sz w:val="18"/>
          <w:szCs w:val="18"/>
          <w:lang w:val="en-US"/>
        </w:rPr>
        <w:t xml:space="preserve">) under identical experimental conditions. The reported values represent the mean ± standard deviation. The experimental error of the gravimetric determination of monomer conversion did not exceed </w:t>
      </w:r>
      <w:r w:rsidRPr="00F112E0">
        <w:rPr>
          <w:rFonts w:ascii="Arial" w:eastAsia="Times New Roman" w:hAnsi="Arial" w:cs="Arial"/>
          <w:bCs/>
          <w:sz w:val="18"/>
          <w:szCs w:val="18"/>
          <w:lang w:val="en-US"/>
        </w:rPr>
        <w:t>±3%</w:t>
      </w:r>
      <w:r w:rsidRPr="00F112E0">
        <w:rPr>
          <w:rFonts w:ascii="Arial" w:eastAsia="Times New Roman" w:hAnsi="Arial" w:cs="Arial"/>
          <w:sz w:val="18"/>
          <w:szCs w:val="18"/>
          <w:lang w:val="en-US"/>
        </w:rPr>
        <w:t>, confirming good reproducibility of the obtained results.</w:t>
      </w:r>
    </w:p>
    <w:p w:rsidR="00F112E0" w:rsidRPr="00F112E0" w:rsidRDefault="00F112E0" w:rsidP="00F112E0">
      <w:pPr>
        <w:widowControl w:val="0"/>
        <w:spacing w:after="0" w:line="276" w:lineRule="auto"/>
        <w:ind w:firstLine="708"/>
        <w:jc w:val="both"/>
        <w:rPr>
          <w:rFonts w:ascii="Arial" w:eastAsia="Times New Roman" w:hAnsi="Arial" w:cs="Arial"/>
          <w:sz w:val="18"/>
          <w:szCs w:val="18"/>
          <w:lang w:val="en-US"/>
        </w:rPr>
      </w:pPr>
      <w:r w:rsidRPr="00F112E0">
        <w:rPr>
          <w:rFonts w:ascii="Arial" w:eastAsia="Times New Roman" w:hAnsi="Arial" w:cs="Arial"/>
          <w:sz w:val="18"/>
          <w:szCs w:val="18"/>
          <w:lang w:val="en-US"/>
        </w:rPr>
        <w:t xml:space="preserve">The monomer reactivity ratios were calculated using the </w:t>
      </w:r>
      <w:proofErr w:type="spellStart"/>
      <w:r w:rsidRPr="00F112E0">
        <w:rPr>
          <w:rFonts w:ascii="Arial" w:eastAsia="Times New Roman" w:hAnsi="Arial" w:cs="Arial"/>
          <w:bCs/>
          <w:sz w:val="18"/>
          <w:szCs w:val="18"/>
          <w:lang w:val="en-US"/>
        </w:rPr>
        <w:t>Fineman</w:t>
      </w:r>
      <w:proofErr w:type="spellEnd"/>
      <w:r w:rsidRPr="00F112E0">
        <w:rPr>
          <w:rFonts w:ascii="Arial" w:eastAsia="Times New Roman" w:hAnsi="Arial" w:cs="Arial"/>
          <w:bCs/>
          <w:sz w:val="18"/>
          <w:szCs w:val="18"/>
          <w:lang w:val="en-US"/>
        </w:rPr>
        <w:t>–Ross method</w:t>
      </w:r>
      <w:r w:rsidRPr="00F112E0">
        <w:rPr>
          <w:rFonts w:ascii="Arial" w:eastAsia="Times New Roman" w:hAnsi="Arial" w:cs="Arial"/>
          <w:sz w:val="18"/>
          <w:szCs w:val="18"/>
          <w:lang w:val="en-US"/>
        </w:rPr>
        <w:t xml:space="preserve"> based on low-conversion copolymerization data.</w:t>
      </w:r>
    </w:p>
    <w:p w:rsidR="00F112E0" w:rsidRDefault="00F112E0" w:rsidP="00F112E0">
      <w:pPr>
        <w:widowControl w:val="0"/>
        <w:spacing w:after="0" w:line="276" w:lineRule="auto"/>
        <w:ind w:firstLine="708"/>
        <w:jc w:val="both"/>
        <w:rPr>
          <w:rFonts w:ascii="Arial" w:eastAsia="Times New Roman" w:hAnsi="Arial" w:cs="Arial"/>
          <w:bCs/>
          <w:sz w:val="18"/>
          <w:szCs w:val="18"/>
          <w:lang w:val="en-US"/>
        </w:rPr>
      </w:pPr>
      <w:r w:rsidRPr="00F112E0">
        <w:rPr>
          <w:rFonts w:ascii="Arial" w:eastAsia="Times New Roman" w:hAnsi="Arial" w:cs="Arial"/>
          <w:sz w:val="18"/>
          <w:szCs w:val="18"/>
          <w:lang w:val="en-US"/>
        </w:rPr>
        <w:t xml:space="preserve">FTIR spectra of the starting monomers and synthesized copolymers were recorded on a </w:t>
      </w:r>
      <w:r w:rsidRPr="00F112E0">
        <w:rPr>
          <w:rFonts w:ascii="Arial" w:eastAsia="Times New Roman" w:hAnsi="Arial" w:cs="Arial"/>
          <w:bCs/>
          <w:sz w:val="18"/>
          <w:szCs w:val="18"/>
          <w:lang w:val="en-US"/>
        </w:rPr>
        <w:t>SISTEM-200 FTIR spectrophotometer</w:t>
      </w:r>
      <w:r w:rsidRPr="00F112E0">
        <w:rPr>
          <w:rFonts w:ascii="Arial" w:eastAsia="Times New Roman" w:hAnsi="Arial" w:cs="Arial"/>
          <w:sz w:val="18"/>
          <w:szCs w:val="18"/>
          <w:lang w:val="en-US"/>
        </w:rPr>
        <w:t xml:space="preserve"> over the range of </w:t>
      </w:r>
      <w:r w:rsidRPr="00F112E0">
        <w:rPr>
          <w:rFonts w:ascii="Arial" w:eastAsia="Times New Roman" w:hAnsi="Arial" w:cs="Arial"/>
          <w:bCs/>
          <w:sz w:val="18"/>
          <w:szCs w:val="18"/>
          <w:lang w:val="en-US"/>
        </w:rPr>
        <w:t>400–4000 cm</w:t>
      </w:r>
      <w:r w:rsidRPr="00F112E0">
        <w:rPr>
          <w:rFonts w:ascii="Cambria Math" w:eastAsia="Times New Roman" w:hAnsi="Cambria Math" w:cs="Cambria Math"/>
          <w:bCs/>
          <w:sz w:val="18"/>
          <w:szCs w:val="18"/>
          <w:lang w:val="en-US"/>
        </w:rPr>
        <w:t>⁻</w:t>
      </w:r>
      <w:r w:rsidRPr="00F112E0">
        <w:rPr>
          <w:rFonts w:ascii="Arial" w:eastAsia="Times New Roman" w:hAnsi="Arial" w:cs="Arial"/>
          <w:bCs/>
          <w:sz w:val="18"/>
          <w:szCs w:val="18"/>
          <w:lang w:val="en-US"/>
        </w:rPr>
        <w:t>¹</w:t>
      </w:r>
      <w:r w:rsidRPr="00F112E0">
        <w:rPr>
          <w:rFonts w:ascii="Arial" w:eastAsia="Times New Roman" w:hAnsi="Arial" w:cs="Arial"/>
          <w:sz w:val="18"/>
          <w:szCs w:val="18"/>
          <w:lang w:val="en-US"/>
        </w:rPr>
        <w:t xml:space="preserve"> using </w:t>
      </w:r>
      <w:proofErr w:type="spellStart"/>
      <w:r w:rsidRPr="00F112E0">
        <w:rPr>
          <w:rFonts w:ascii="Arial" w:eastAsia="Times New Roman" w:hAnsi="Arial" w:cs="Arial"/>
          <w:sz w:val="18"/>
          <w:szCs w:val="18"/>
          <w:lang w:val="en-US"/>
        </w:rPr>
        <w:t>KBr</w:t>
      </w:r>
      <w:proofErr w:type="spellEnd"/>
      <w:r w:rsidRPr="00F112E0">
        <w:rPr>
          <w:rFonts w:ascii="Arial" w:eastAsia="Times New Roman" w:hAnsi="Arial" w:cs="Arial"/>
          <w:sz w:val="18"/>
          <w:szCs w:val="18"/>
          <w:lang w:val="en-US"/>
        </w:rPr>
        <w:t xml:space="preserve"> pellets. </w:t>
      </w:r>
      <w:r w:rsidRPr="00F112E0">
        <w:rPr>
          <w:rFonts w:ascii="Arial" w:eastAsia="Times New Roman" w:hAnsi="Arial" w:cs="Arial"/>
          <w:bCs/>
          <w:sz w:val="18"/>
          <w:szCs w:val="18"/>
          <w:lang w:val="en-US"/>
        </w:rPr>
        <w:t>¹H NMR</w:t>
      </w:r>
      <w:r w:rsidRPr="00F112E0">
        <w:rPr>
          <w:rFonts w:ascii="Arial" w:eastAsia="Times New Roman" w:hAnsi="Arial" w:cs="Arial"/>
          <w:sz w:val="18"/>
          <w:szCs w:val="18"/>
          <w:lang w:val="en-US"/>
        </w:rPr>
        <w:t xml:space="preserve"> spectra were obtained in </w:t>
      </w:r>
      <w:r w:rsidRPr="00F112E0">
        <w:rPr>
          <w:rFonts w:ascii="Arial" w:eastAsia="Times New Roman" w:hAnsi="Arial" w:cs="Arial"/>
          <w:bCs/>
          <w:sz w:val="18"/>
          <w:szCs w:val="18"/>
          <w:lang w:val="en-US"/>
        </w:rPr>
        <w:t>CD</w:t>
      </w:r>
      <w:r w:rsidRPr="00F112E0">
        <w:rPr>
          <w:rFonts w:ascii="Cambria Math" w:eastAsia="Times New Roman" w:hAnsi="Cambria Math" w:cs="Cambria Math"/>
          <w:bCs/>
          <w:sz w:val="18"/>
          <w:szCs w:val="18"/>
          <w:lang w:val="en-US"/>
        </w:rPr>
        <w:t>₃</w:t>
      </w:r>
      <w:r w:rsidRPr="00F112E0">
        <w:rPr>
          <w:rFonts w:ascii="Arial" w:eastAsia="Times New Roman" w:hAnsi="Arial" w:cs="Arial"/>
          <w:bCs/>
          <w:sz w:val="18"/>
          <w:szCs w:val="18"/>
          <w:lang w:val="en-US"/>
        </w:rPr>
        <w:t>COCD</w:t>
      </w:r>
      <w:r w:rsidRPr="00F112E0">
        <w:rPr>
          <w:rFonts w:ascii="Cambria Math" w:eastAsia="Times New Roman" w:hAnsi="Cambria Math" w:cs="Cambria Math"/>
          <w:bCs/>
          <w:sz w:val="18"/>
          <w:szCs w:val="18"/>
          <w:lang w:val="en-US"/>
        </w:rPr>
        <w:t>₃</w:t>
      </w:r>
      <w:r w:rsidRPr="00F112E0">
        <w:rPr>
          <w:rFonts w:ascii="Arial" w:eastAsia="Times New Roman" w:hAnsi="Arial" w:cs="Arial"/>
          <w:sz w:val="18"/>
          <w:szCs w:val="18"/>
          <w:lang w:val="en-US"/>
        </w:rPr>
        <w:t xml:space="preserve"> solutions on a </w:t>
      </w:r>
      <w:r w:rsidRPr="00F112E0">
        <w:rPr>
          <w:rFonts w:ascii="Arial" w:eastAsia="Times New Roman" w:hAnsi="Arial" w:cs="Arial"/>
          <w:bCs/>
          <w:sz w:val="18"/>
          <w:szCs w:val="18"/>
          <w:lang w:val="en-US"/>
        </w:rPr>
        <w:t>Variant-6 spectrometer</w:t>
      </w:r>
      <w:r w:rsidRPr="00F112E0">
        <w:rPr>
          <w:rFonts w:ascii="Arial" w:eastAsia="Times New Roman" w:hAnsi="Arial" w:cs="Arial"/>
          <w:sz w:val="18"/>
          <w:szCs w:val="18"/>
          <w:lang w:val="en-US"/>
        </w:rPr>
        <w:t xml:space="preserve"> operating at </w:t>
      </w:r>
      <w:r w:rsidRPr="00F112E0">
        <w:rPr>
          <w:rFonts w:ascii="Arial" w:eastAsia="Times New Roman" w:hAnsi="Arial" w:cs="Arial"/>
          <w:bCs/>
          <w:sz w:val="18"/>
          <w:szCs w:val="18"/>
          <w:lang w:val="en-US"/>
        </w:rPr>
        <w:t>60 MHz</w:t>
      </w:r>
      <w:r w:rsidRPr="00F112E0">
        <w:rPr>
          <w:rFonts w:ascii="Arial" w:eastAsia="Times New Roman" w:hAnsi="Arial" w:cs="Arial"/>
          <w:sz w:val="18"/>
          <w:szCs w:val="18"/>
          <w:lang w:val="en-US"/>
        </w:rPr>
        <w:t xml:space="preserve"> at </w:t>
      </w:r>
      <w:r w:rsidRPr="00F112E0">
        <w:rPr>
          <w:rFonts w:ascii="Arial" w:eastAsia="Times New Roman" w:hAnsi="Arial" w:cs="Arial"/>
          <w:bCs/>
          <w:sz w:val="18"/>
          <w:szCs w:val="18"/>
          <w:lang w:val="en-US"/>
        </w:rPr>
        <w:t>30 °C</w:t>
      </w:r>
      <w:r w:rsidRPr="00F112E0">
        <w:rPr>
          <w:rFonts w:ascii="Arial" w:eastAsia="Times New Roman" w:hAnsi="Arial" w:cs="Arial"/>
          <w:sz w:val="18"/>
          <w:szCs w:val="18"/>
          <w:lang w:val="en-US"/>
        </w:rPr>
        <w:t xml:space="preserve">, using </w:t>
      </w:r>
      <w:proofErr w:type="spellStart"/>
      <w:r w:rsidRPr="00F112E0">
        <w:rPr>
          <w:rFonts w:ascii="Arial" w:eastAsia="Times New Roman" w:hAnsi="Arial" w:cs="Arial"/>
          <w:bCs/>
          <w:sz w:val="18"/>
          <w:szCs w:val="18"/>
          <w:lang w:val="en-US"/>
        </w:rPr>
        <w:t>tetramethylsilane</w:t>
      </w:r>
      <w:proofErr w:type="spellEnd"/>
      <w:r w:rsidRPr="00F112E0">
        <w:rPr>
          <w:rFonts w:ascii="Arial" w:eastAsia="Times New Roman" w:hAnsi="Arial" w:cs="Arial"/>
          <w:bCs/>
          <w:sz w:val="18"/>
          <w:szCs w:val="18"/>
          <w:lang w:val="en-US"/>
        </w:rPr>
        <w:t xml:space="preserve"> (TMS)</w:t>
      </w:r>
      <w:r w:rsidRPr="00F112E0">
        <w:rPr>
          <w:rFonts w:ascii="Arial" w:eastAsia="Times New Roman" w:hAnsi="Arial" w:cs="Arial"/>
          <w:sz w:val="18"/>
          <w:szCs w:val="18"/>
          <w:lang w:val="en-US"/>
        </w:rPr>
        <w:t xml:space="preserve"> as the internal reference. </w:t>
      </w:r>
      <w:proofErr w:type="spellStart"/>
      <w:r w:rsidRPr="00F112E0">
        <w:rPr>
          <w:rFonts w:ascii="Arial" w:eastAsia="Times New Roman" w:hAnsi="Arial" w:cs="Arial"/>
          <w:sz w:val="18"/>
          <w:szCs w:val="18"/>
          <w:lang w:val="en-US"/>
        </w:rPr>
        <w:t>Thermogravimetric</w:t>
      </w:r>
      <w:proofErr w:type="spellEnd"/>
      <w:r w:rsidRPr="00F112E0">
        <w:rPr>
          <w:rFonts w:ascii="Arial" w:eastAsia="Times New Roman" w:hAnsi="Arial" w:cs="Arial"/>
          <w:sz w:val="18"/>
          <w:szCs w:val="18"/>
          <w:lang w:val="en-US"/>
        </w:rPr>
        <w:t xml:space="preserve"> (TGA) and differential thermal (DTA) analyses were performed on a </w:t>
      </w:r>
      <w:r w:rsidRPr="00F112E0">
        <w:rPr>
          <w:rFonts w:ascii="Arial" w:eastAsia="Times New Roman" w:hAnsi="Arial" w:cs="Arial"/>
          <w:bCs/>
          <w:sz w:val="18"/>
          <w:szCs w:val="18"/>
          <w:lang w:val="en-US"/>
        </w:rPr>
        <w:t>DTG-60 thermal analyzer (Shimadzu, Japan).</w:t>
      </w:r>
    </w:p>
    <w:p w:rsidR="00F112E0" w:rsidRPr="00F112E0" w:rsidRDefault="00F112E0" w:rsidP="00F112E0">
      <w:pPr>
        <w:widowControl w:val="0"/>
        <w:spacing w:after="0" w:line="276" w:lineRule="auto"/>
        <w:ind w:firstLine="708"/>
        <w:jc w:val="both"/>
        <w:rPr>
          <w:rFonts w:ascii="Arial" w:eastAsia="Times New Roman" w:hAnsi="Arial" w:cs="Arial"/>
          <w:sz w:val="18"/>
          <w:szCs w:val="18"/>
          <w:lang w:val="en-US"/>
        </w:rPr>
      </w:pPr>
    </w:p>
    <w:p w:rsidR="00583D1D" w:rsidRDefault="002511A9" w:rsidP="00297CD7">
      <w:pPr>
        <w:widowControl w:val="0"/>
        <w:spacing w:after="0" w:line="276" w:lineRule="auto"/>
        <w:jc w:val="both"/>
        <w:rPr>
          <w:rFonts w:ascii="Arial" w:eastAsia="Times New Roman" w:hAnsi="Arial" w:cs="Arial"/>
          <w:sz w:val="18"/>
          <w:szCs w:val="18"/>
          <w:lang w:val="en-US"/>
        </w:rPr>
      </w:pPr>
      <w:r>
        <w:rPr>
          <w:rFonts w:ascii="Arial" w:eastAsia="Times New Roman" w:hAnsi="Arial" w:cs="Arial"/>
          <w:b/>
          <w:sz w:val="18"/>
          <w:szCs w:val="18"/>
          <w:lang w:val="en-US"/>
        </w:rPr>
        <w:t>3. Result and discussion</w:t>
      </w:r>
    </w:p>
    <w:p w:rsidR="00446AC9" w:rsidRPr="00F112E0" w:rsidRDefault="00446AC9" w:rsidP="007C00E3">
      <w:pPr>
        <w:pStyle w:val="a5"/>
        <w:ind w:left="0" w:right="106" w:firstLine="708"/>
        <w:rPr>
          <w:rFonts w:ascii="Arial" w:hAnsi="Arial" w:cs="Arial"/>
          <w:sz w:val="18"/>
          <w:szCs w:val="18"/>
        </w:rPr>
      </w:pPr>
      <w:r w:rsidRPr="00446AC9">
        <w:rPr>
          <w:rFonts w:ascii="Arial" w:hAnsi="Arial" w:cs="Arial"/>
          <w:sz w:val="18"/>
          <w:szCs w:val="18"/>
        </w:rPr>
        <w:t xml:space="preserve">The free-radical copolymerization of acrylonitrile (AN) with 1-chloro-3-morpholine propyl acrylate (MCPA) was carried out in </w:t>
      </w:r>
      <w:proofErr w:type="spellStart"/>
      <w:r w:rsidRPr="00446AC9">
        <w:rPr>
          <w:rFonts w:ascii="Arial" w:hAnsi="Arial" w:cs="Arial"/>
          <w:sz w:val="18"/>
          <w:szCs w:val="18"/>
        </w:rPr>
        <w:t>dimethylformamide</w:t>
      </w:r>
      <w:proofErr w:type="spellEnd"/>
      <w:r w:rsidRPr="00446AC9">
        <w:rPr>
          <w:rFonts w:ascii="Arial" w:hAnsi="Arial" w:cs="Arial"/>
          <w:sz w:val="18"/>
          <w:szCs w:val="18"/>
        </w:rPr>
        <w:t xml:space="preserve"> (DMF) using ammonium persulfate as the radical initiator. Preliminary experiments showed that polymerization in aqueous media proceeded through a heterogeneous mechanism, whereas DMF provided a homogeneous reaction medium with improved monomer compatibility and a higher polymerization rate. Therefore, DMF was selected as the reaction medium for the kinetic investigation.</w:t>
      </w:r>
      <w:r w:rsidR="00F112E0" w:rsidRPr="00F112E0">
        <w:rPr>
          <w:rFonts w:asciiTheme="minorHAnsi" w:eastAsiaTheme="minorHAnsi" w:hAnsiTheme="minorHAnsi" w:cstheme="minorBidi"/>
          <w:sz w:val="22"/>
          <w:szCs w:val="22"/>
        </w:rPr>
        <w:t xml:space="preserve"> </w:t>
      </w:r>
      <w:r w:rsidR="00F112E0" w:rsidRPr="00F112E0">
        <w:rPr>
          <w:rFonts w:ascii="Arial" w:hAnsi="Arial" w:cs="Arial"/>
          <w:sz w:val="18"/>
          <w:szCs w:val="18"/>
        </w:rPr>
        <w:t xml:space="preserve">The apparent activation energy of the copolymerization process was estimated to be </w:t>
      </w:r>
      <w:r w:rsidR="00F112E0" w:rsidRPr="00F112E0">
        <w:rPr>
          <w:rFonts w:ascii="Arial" w:hAnsi="Arial" w:cs="Arial"/>
          <w:bCs/>
          <w:sz w:val="18"/>
          <w:szCs w:val="18"/>
        </w:rPr>
        <w:t>47.77 kJ mol</w:t>
      </w:r>
      <w:r w:rsidR="00F112E0" w:rsidRPr="00F112E0">
        <w:rPr>
          <w:rFonts w:ascii="Cambria Math" w:hAnsi="Cambria Math" w:cs="Cambria Math"/>
          <w:bCs/>
          <w:sz w:val="18"/>
          <w:szCs w:val="18"/>
        </w:rPr>
        <w:t>⁻</w:t>
      </w:r>
      <w:r w:rsidR="00F112E0" w:rsidRPr="00F112E0">
        <w:rPr>
          <w:rFonts w:ascii="Arial" w:hAnsi="Arial" w:cs="Arial"/>
          <w:bCs/>
          <w:sz w:val="18"/>
          <w:szCs w:val="18"/>
        </w:rPr>
        <w:t>¹</w:t>
      </w:r>
      <w:r w:rsidR="00F112E0" w:rsidRPr="00F112E0">
        <w:rPr>
          <w:rFonts w:ascii="Arial" w:hAnsi="Arial" w:cs="Arial"/>
          <w:sz w:val="18"/>
          <w:szCs w:val="18"/>
        </w:rPr>
        <w:t>, indicating that the copolymerization proceeds under typical free-radical conditions and is comparable with values reported for similar acrylonitrile-based copolymer systems.</w:t>
      </w:r>
    </w:p>
    <w:p w:rsidR="007C00E3" w:rsidRDefault="00446AC9" w:rsidP="007C00E3">
      <w:pPr>
        <w:pStyle w:val="a5"/>
        <w:ind w:left="0" w:right="108" w:firstLine="487"/>
        <w:rPr>
          <w:rFonts w:ascii="Arial" w:hAnsi="Arial" w:cs="Arial"/>
          <w:sz w:val="18"/>
          <w:szCs w:val="18"/>
        </w:rPr>
      </w:pPr>
      <w:r w:rsidRPr="00446AC9">
        <w:rPr>
          <w:rFonts w:ascii="Arial" w:hAnsi="Arial" w:cs="Arial"/>
          <w:sz w:val="18"/>
          <w:szCs w:val="18"/>
        </w:rPr>
        <w:t xml:space="preserve">To minimize compositional drift during copolymerization, all kinetic measurements and copolymer composition analyses were performed at low monomer conversion (approximately </w:t>
      </w:r>
      <w:r w:rsidRPr="00446AC9">
        <w:rPr>
          <w:rFonts w:ascii="Arial" w:hAnsi="Arial" w:cs="Arial"/>
          <w:b/>
          <w:bCs/>
          <w:sz w:val="18"/>
          <w:szCs w:val="18"/>
        </w:rPr>
        <w:t>7.7%</w:t>
      </w:r>
      <w:r w:rsidRPr="00446AC9">
        <w:rPr>
          <w:rFonts w:ascii="Arial" w:hAnsi="Arial" w:cs="Arial"/>
          <w:sz w:val="18"/>
          <w:szCs w:val="18"/>
        </w:rPr>
        <w:t xml:space="preserve">). Under these conditions, the instantaneous copolymer composition closely reflects the initial monomer feed composition, </w:t>
      </w:r>
      <w:r w:rsidRPr="00446AC9">
        <w:rPr>
          <w:rFonts w:ascii="Arial" w:hAnsi="Arial" w:cs="Arial"/>
          <w:sz w:val="18"/>
          <w:szCs w:val="18"/>
        </w:rPr>
        <w:lastRenderedPageBreak/>
        <w:t xml:space="preserve">allowing reliable determination of the monomer reactivity ratios by the </w:t>
      </w:r>
      <w:proofErr w:type="spellStart"/>
      <w:r w:rsidRPr="00446AC9">
        <w:rPr>
          <w:rFonts w:ascii="Arial" w:hAnsi="Arial" w:cs="Arial"/>
          <w:sz w:val="18"/>
          <w:szCs w:val="18"/>
        </w:rPr>
        <w:t>Fineman</w:t>
      </w:r>
      <w:proofErr w:type="spellEnd"/>
      <w:r w:rsidRPr="00446AC9">
        <w:rPr>
          <w:rFonts w:ascii="Arial" w:hAnsi="Arial" w:cs="Arial"/>
          <w:sz w:val="18"/>
          <w:szCs w:val="18"/>
        </w:rPr>
        <w:t>–Ross method.</w:t>
      </w:r>
      <w:r w:rsidR="007C00E3" w:rsidRPr="007C00E3">
        <w:rPr>
          <w:rFonts w:ascii="Arial" w:hAnsi="Arial" w:cs="Arial"/>
          <w:sz w:val="18"/>
          <w:szCs w:val="18"/>
        </w:rPr>
        <w:t xml:space="preserve"> </w:t>
      </w:r>
    </w:p>
    <w:p w:rsidR="00446AC9" w:rsidRPr="000A6828" w:rsidRDefault="000A6828" w:rsidP="007C00E3">
      <w:pPr>
        <w:pStyle w:val="a5"/>
        <w:ind w:left="0" w:right="106" w:firstLine="708"/>
        <w:rPr>
          <w:rFonts w:ascii="Arial" w:hAnsi="Arial" w:cs="Arial"/>
          <w:sz w:val="18"/>
          <w:szCs w:val="18"/>
        </w:rPr>
      </w:pPr>
      <w:r w:rsidRPr="000A6828">
        <w:rPr>
          <w:rFonts w:ascii="Arial" w:hAnsi="Arial" w:cs="Arial"/>
          <w:sz w:val="18"/>
          <w:szCs w:val="18"/>
        </w:rPr>
        <w:t>Figure 1 shows that increasing the reaction temperature from 30 to 50 °C significantly accelerates the copolymerization process and increases monomer conversion. This behavior is attributed to the higher decomposition rate of ammonium persulfate, resulting in a greater concentration of active radicals. Therefore, subsequent copolymer composition analyses were performed at a low conversion (~7.7%) to minimize compositional drift.</w:t>
      </w:r>
    </w:p>
    <w:p w:rsidR="00297CD7" w:rsidRDefault="00297CD7" w:rsidP="00297CD7">
      <w:pPr>
        <w:pStyle w:val="a5"/>
        <w:spacing w:line="360" w:lineRule="auto"/>
        <w:ind w:right="106" w:firstLine="710"/>
        <w:jc w:val="center"/>
      </w:pPr>
      <w:r w:rsidRPr="00297CD7">
        <w:rPr>
          <w:noProof/>
          <w:lang w:val="ru-RU" w:eastAsia="ru-RU"/>
        </w:rPr>
        <w:drawing>
          <wp:inline distT="0" distB="0" distL="0" distR="0" wp14:anchorId="2007A060" wp14:editId="7C5E73BE">
            <wp:extent cx="3199130" cy="16859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99130" cy="1685925"/>
                    </a:xfrm>
                    <a:prstGeom prst="rect">
                      <a:avLst/>
                    </a:prstGeom>
                  </pic:spPr>
                </pic:pic>
              </a:graphicData>
            </a:graphic>
          </wp:inline>
        </w:drawing>
      </w:r>
      <w:r w:rsidR="00935C1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v:imagedata croptop="-65520f" cropbottom="65520f"/>
          </v:shape>
        </w:pict>
      </w:r>
    </w:p>
    <w:p w:rsidR="00297CD7" w:rsidRDefault="00297CD7" w:rsidP="007C00E3">
      <w:pPr>
        <w:pStyle w:val="a5"/>
        <w:ind w:left="0" w:right="108"/>
        <w:rPr>
          <w:rFonts w:ascii="Arial" w:hAnsi="Arial" w:cs="Arial"/>
          <w:sz w:val="18"/>
          <w:szCs w:val="18"/>
        </w:rPr>
      </w:pPr>
      <w:r w:rsidRPr="00297CD7">
        <w:rPr>
          <w:rFonts w:ascii="Arial" w:hAnsi="Arial" w:cs="Arial"/>
          <w:sz w:val="18"/>
          <w:szCs w:val="18"/>
        </w:rPr>
        <w:t>Figure 1. Effect of temperature on monomer conversion during the free-radical copolymerization of acrylonitrile with MCPA in DMF in the presence of ammonium persulfate (5 × 10</w:t>
      </w:r>
      <w:r w:rsidRPr="00297CD7">
        <w:rPr>
          <w:rFonts w:ascii="Cambria Math" w:hAnsi="Cambria Math" w:cs="Cambria Math"/>
          <w:sz w:val="18"/>
          <w:szCs w:val="18"/>
        </w:rPr>
        <w:t>⁻</w:t>
      </w:r>
      <w:r w:rsidRPr="00297CD7">
        <w:rPr>
          <w:rFonts w:ascii="Arial" w:hAnsi="Arial" w:cs="Arial"/>
          <w:sz w:val="18"/>
          <w:szCs w:val="18"/>
        </w:rPr>
        <w:t xml:space="preserve">³ </w:t>
      </w:r>
      <w:proofErr w:type="spellStart"/>
      <w:r w:rsidRPr="00297CD7">
        <w:rPr>
          <w:rFonts w:ascii="Arial" w:hAnsi="Arial" w:cs="Arial"/>
          <w:sz w:val="18"/>
          <w:szCs w:val="18"/>
        </w:rPr>
        <w:t>mol</w:t>
      </w:r>
      <w:proofErr w:type="spellEnd"/>
      <w:r w:rsidRPr="00297CD7">
        <w:rPr>
          <w:rFonts w:ascii="Arial" w:hAnsi="Arial" w:cs="Arial"/>
          <w:sz w:val="18"/>
          <w:szCs w:val="18"/>
        </w:rPr>
        <w:t xml:space="preserve"> L</w:t>
      </w:r>
      <w:r w:rsidRPr="00297CD7">
        <w:rPr>
          <w:rFonts w:ascii="Cambria Math" w:hAnsi="Cambria Math" w:cs="Cambria Math"/>
          <w:sz w:val="18"/>
          <w:szCs w:val="18"/>
        </w:rPr>
        <w:t>⁻</w:t>
      </w:r>
      <w:r w:rsidRPr="00297CD7">
        <w:rPr>
          <w:rFonts w:ascii="Arial" w:hAnsi="Arial" w:cs="Arial"/>
          <w:sz w:val="18"/>
          <w:szCs w:val="18"/>
        </w:rPr>
        <w:t>¹): (1) 30 °C, (2) 40 °C, and (3) 50 °C.</w:t>
      </w:r>
    </w:p>
    <w:p w:rsidR="00446AC9" w:rsidRPr="00446AC9" w:rsidRDefault="00446AC9" w:rsidP="007C00E3">
      <w:pPr>
        <w:pStyle w:val="a5"/>
        <w:ind w:left="0" w:right="106" w:firstLine="567"/>
        <w:rPr>
          <w:rFonts w:ascii="Arial" w:hAnsi="Arial" w:cs="Arial"/>
          <w:sz w:val="18"/>
          <w:szCs w:val="18"/>
        </w:rPr>
      </w:pPr>
      <w:r w:rsidRPr="00446AC9">
        <w:rPr>
          <w:rFonts w:ascii="Arial" w:hAnsi="Arial" w:cs="Arial"/>
          <w:sz w:val="18"/>
          <w:szCs w:val="18"/>
        </w:rPr>
        <w:t xml:space="preserve">The influence of the initial monomer composition on the copolymer composition was investigated over a wide range of feed ratios, and the results are summarized in </w:t>
      </w:r>
      <w:r w:rsidRPr="00446AC9">
        <w:rPr>
          <w:rFonts w:ascii="Arial" w:hAnsi="Arial" w:cs="Arial"/>
          <w:b/>
          <w:bCs/>
          <w:sz w:val="18"/>
          <w:szCs w:val="18"/>
        </w:rPr>
        <w:t>Table 1</w:t>
      </w:r>
      <w:r w:rsidRPr="00446AC9">
        <w:rPr>
          <w:rFonts w:ascii="Arial" w:hAnsi="Arial" w:cs="Arial"/>
          <w:sz w:val="18"/>
          <w:szCs w:val="18"/>
        </w:rPr>
        <w:t>.</w:t>
      </w:r>
    </w:p>
    <w:p w:rsidR="00583D1D" w:rsidRDefault="002511A9" w:rsidP="007C00E3">
      <w:pPr>
        <w:pStyle w:val="a5"/>
        <w:ind w:left="0" w:right="106" w:firstLine="426"/>
        <w:rPr>
          <w:rFonts w:ascii="Arial" w:hAnsi="Arial" w:cs="Arial"/>
          <w:sz w:val="18"/>
          <w:szCs w:val="18"/>
        </w:rPr>
      </w:pPr>
      <w:r>
        <w:rPr>
          <w:rFonts w:ascii="Arial" w:hAnsi="Arial" w:cs="Arial"/>
          <w:sz w:val="18"/>
          <w:szCs w:val="18"/>
        </w:rPr>
        <w:t xml:space="preserve">   Table 1: Dependence of copol</w:t>
      </w:r>
      <w:r w:rsidR="004117AF">
        <w:rPr>
          <w:rFonts w:ascii="Arial" w:hAnsi="Arial" w:cs="Arial"/>
          <w:sz w:val="18"/>
          <w:szCs w:val="18"/>
        </w:rPr>
        <w:t>ymer composition</w:t>
      </w:r>
      <w:r>
        <w:rPr>
          <w:rFonts w:ascii="Arial" w:hAnsi="Arial" w:cs="Arial"/>
          <w:sz w:val="18"/>
          <w:szCs w:val="18"/>
        </w:rPr>
        <w:t xml:space="preserve"> on the monomer ratio in the initial mixture of MCPA (M</w:t>
      </w:r>
      <w:r>
        <w:rPr>
          <w:rFonts w:ascii="Arial" w:hAnsi="Arial" w:cs="Arial"/>
          <w:sz w:val="18"/>
          <w:szCs w:val="18"/>
          <w:vertAlign w:val="subscript"/>
        </w:rPr>
        <w:t>1</w:t>
      </w:r>
      <w:r>
        <w:rPr>
          <w:rFonts w:ascii="Arial" w:hAnsi="Arial" w:cs="Arial"/>
          <w:sz w:val="18"/>
          <w:szCs w:val="18"/>
        </w:rPr>
        <w:t>) with AN (M</w:t>
      </w:r>
      <w:proofErr w:type="gramStart"/>
      <w:r>
        <w:rPr>
          <w:rFonts w:ascii="Arial" w:hAnsi="Arial" w:cs="Arial"/>
          <w:sz w:val="18"/>
          <w:szCs w:val="18"/>
          <w:vertAlign w:val="subscript"/>
        </w:rPr>
        <w:t>2</w:t>
      </w:r>
      <w:r>
        <w:rPr>
          <w:rFonts w:ascii="Arial" w:hAnsi="Arial" w:cs="Arial"/>
          <w:sz w:val="18"/>
          <w:szCs w:val="18"/>
        </w:rPr>
        <w:t xml:space="preserve"> )</w:t>
      </w:r>
      <w:proofErr w:type="gramEnd"/>
      <w:r>
        <w:rPr>
          <w:rFonts w:ascii="Arial" w:hAnsi="Arial" w:cs="Arial"/>
          <w:sz w:val="18"/>
          <w:szCs w:val="18"/>
        </w:rPr>
        <w:t xml:space="preserve"> in a DMF medium. [PA]=5∙10</w:t>
      </w:r>
      <w:r>
        <w:rPr>
          <w:rFonts w:ascii="Arial" w:hAnsi="Arial" w:cs="Arial"/>
          <w:sz w:val="18"/>
          <w:szCs w:val="18"/>
          <w:vertAlign w:val="superscript"/>
        </w:rPr>
        <w:t xml:space="preserve">-3 </w:t>
      </w:r>
      <w:proofErr w:type="spellStart"/>
      <w:r>
        <w:rPr>
          <w:rFonts w:ascii="Arial" w:hAnsi="Arial" w:cs="Arial"/>
          <w:sz w:val="18"/>
          <w:szCs w:val="18"/>
        </w:rPr>
        <w:t>mol</w:t>
      </w:r>
      <w:proofErr w:type="spellEnd"/>
      <w:r>
        <w:rPr>
          <w:rFonts w:ascii="Arial" w:hAnsi="Arial" w:cs="Arial"/>
          <w:sz w:val="18"/>
          <w:szCs w:val="18"/>
        </w:rPr>
        <w:t xml:space="preserve">/l; t=50 </w:t>
      </w:r>
      <w:proofErr w:type="spellStart"/>
      <w:r>
        <w:rPr>
          <w:rFonts w:ascii="Arial" w:hAnsi="Arial" w:cs="Arial"/>
          <w:sz w:val="18"/>
          <w:szCs w:val="18"/>
          <w:vertAlign w:val="superscript"/>
        </w:rPr>
        <w:t>о</w:t>
      </w:r>
      <w:r>
        <w:rPr>
          <w:rFonts w:ascii="Arial" w:hAnsi="Arial" w:cs="Arial"/>
          <w:sz w:val="18"/>
          <w:szCs w:val="18"/>
        </w:rPr>
        <w:t>C</w:t>
      </w:r>
      <w:proofErr w:type="spellEnd"/>
      <w:r>
        <w:rPr>
          <w:rFonts w:ascii="Arial" w:hAnsi="Arial" w:cs="Arial"/>
          <w:sz w:val="18"/>
          <w:szCs w:val="18"/>
        </w:rPr>
        <w:t>.</w:t>
      </w:r>
    </w:p>
    <w:tbl>
      <w:tblPr>
        <w:tblW w:w="8306" w:type="dxa"/>
        <w:jc w:val="center"/>
        <w:tblLayout w:type="fixed"/>
        <w:tblCellMar>
          <w:left w:w="5" w:type="dxa"/>
          <w:right w:w="5" w:type="dxa"/>
        </w:tblCellMar>
        <w:tblLook w:val="01E0" w:firstRow="1" w:lastRow="1" w:firstColumn="1" w:lastColumn="1" w:noHBand="0" w:noVBand="0"/>
      </w:tblPr>
      <w:tblGrid>
        <w:gridCol w:w="1361"/>
        <w:gridCol w:w="1536"/>
        <w:gridCol w:w="1762"/>
        <w:gridCol w:w="1289"/>
        <w:gridCol w:w="1103"/>
        <w:gridCol w:w="1255"/>
      </w:tblGrid>
      <w:tr w:rsidR="00583D1D" w:rsidTr="00F112E0">
        <w:trPr>
          <w:trHeight w:val="495"/>
          <w:jc w:val="center"/>
        </w:trPr>
        <w:tc>
          <w:tcPr>
            <w:tcW w:w="2897" w:type="dxa"/>
            <w:gridSpan w:val="2"/>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40" w:lineRule="auto"/>
              <w:ind w:right="372"/>
              <w:jc w:val="center"/>
              <w:rPr>
                <w:rFonts w:ascii="Arial" w:eastAsia="Times New Roman" w:hAnsi="Arial" w:cs="Arial"/>
                <w:sz w:val="18"/>
                <w:szCs w:val="18"/>
                <w:lang w:val="en-US"/>
              </w:rPr>
            </w:pPr>
            <w:r>
              <w:rPr>
                <w:rFonts w:ascii="Arial" w:eastAsia="Times New Roman" w:hAnsi="Arial" w:cs="Arial"/>
                <w:sz w:val="18"/>
                <w:szCs w:val="18"/>
                <w:lang w:val="en-US"/>
              </w:rPr>
              <w:t>Initial ratio, mole fraction</w:t>
            </w:r>
          </w:p>
        </w:tc>
        <w:tc>
          <w:tcPr>
            <w:tcW w:w="1762" w:type="dxa"/>
            <w:vMerge w:val="restart"/>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40" w:lineRule="auto"/>
              <w:ind w:left="393" w:right="361" w:firstLine="110"/>
              <w:jc w:val="center"/>
              <w:rPr>
                <w:rFonts w:ascii="Arial" w:eastAsia="Times New Roman" w:hAnsi="Arial" w:cs="Arial"/>
                <w:sz w:val="18"/>
                <w:szCs w:val="18"/>
                <w:lang w:val="en-US"/>
              </w:rPr>
            </w:pPr>
            <w:r>
              <w:rPr>
                <w:rFonts w:ascii="Arial" w:eastAsia="Times New Roman" w:hAnsi="Arial" w:cs="Arial"/>
                <w:sz w:val="18"/>
                <w:szCs w:val="18"/>
                <w:lang w:val="en-US"/>
              </w:rPr>
              <w:t>Chlorine content, %</w:t>
            </w:r>
          </w:p>
        </w:tc>
        <w:tc>
          <w:tcPr>
            <w:tcW w:w="1289" w:type="dxa"/>
            <w:vMerge w:val="restart"/>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21" w:lineRule="exact"/>
              <w:ind w:left="110"/>
              <w:jc w:val="center"/>
              <w:rPr>
                <w:rFonts w:ascii="Arial" w:eastAsia="Times New Roman" w:hAnsi="Arial" w:cs="Arial"/>
                <w:sz w:val="18"/>
                <w:szCs w:val="18"/>
                <w:lang w:val="en-US"/>
              </w:rPr>
            </w:pPr>
            <w:r>
              <w:rPr>
                <w:rFonts w:ascii="Arial" w:eastAsia="Times New Roman" w:hAnsi="Arial" w:cs="Arial"/>
                <w:sz w:val="18"/>
                <w:szCs w:val="18"/>
                <w:lang w:val="en-US"/>
              </w:rPr>
              <w:t>Yield, %</w:t>
            </w:r>
          </w:p>
        </w:tc>
        <w:tc>
          <w:tcPr>
            <w:tcW w:w="2358" w:type="dxa"/>
            <w:gridSpan w:val="2"/>
            <w:tcBorders>
              <w:top w:val="single" w:sz="4" w:space="0" w:color="000000"/>
              <w:left w:val="single" w:sz="4" w:space="0" w:color="000000"/>
              <w:bottom w:val="single" w:sz="4" w:space="0" w:color="000000"/>
              <w:right w:val="single" w:sz="4" w:space="0" w:color="000000"/>
            </w:tcBorders>
          </w:tcPr>
          <w:p w:rsidR="00583D1D" w:rsidRDefault="002511A9">
            <w:pPr>
              <w:widowControl w:val="0"/>
              <w:spacing w:before="2" w:after="0" w:line="322" w:lineRule="exact"/>
              <w:ind w:left="394" w:right="384" w:firstLine="11"/>
              <w:jc w:val="center"/>
              <w:rPr>
                <w:rFonts w:ascii="Arial" w:eastAsia="Times New Roman" w:hAnsi="Arial" w:cs="Arial"/>
                <w:sz w:val="18"/>
                <w:szCs w:val="18"/>
                <w:lang w:val="en-US"/>
              </w:rPr>
            </w:pPr>
            <w:r>
              <w:rPr>
                <w:rFonts w:ascii="Arial" w:eastAsia="Times New Roman" w:hAnsi="Arial" w:cs="Arial"/>
                <w:sz w:val="18"/>
                <w:szCs w:val="18"/>
                <w:lang w:val="en-US"/>
              </w:rPr>
              <w:t xml:space="preserve">Copolymer composition, </w:t>
            </w:r>
            <w:r>
              <w:rPr>
                <w:rFonts w:ascii="Arial" w:eastAsia="Times New Roman" w:hAnsi="Arial" w:cs="Arial"/>
                <w:spacing w:val="-3"/>
                <w:sz w:val="18"/>
                <w:szCs w:val="18"/>
                <w:lang w:val="en-US"/>
              </w:rPr>
              <w:t xml:space="preserve">mole </w:t>
            </w:r>
            <w:r>
              <w:rPr>
                <w:rFonts w:ascii="Arial" w:eastAsia="Times New Roman" w:hAnsi="Arial" w:cs="Arial"/>
                <w:sz w:val="18"/>
                <w:szCs w:val="18"/>
                <w:lang w:val="en-US"/>
              </w:rPr>
              <w:t>fractions</w:t>
            </w:r>
          </w:p>
        </w:tc>
      </w:tr>
      <w:tr w:rsidR="00583D1D">
        <w:trPr>
          <w:trHeight w:val="292"/>
          <w:jc w:val="center"/>
        </w:trPr>
        <w:tc>
          <w:tcPr>
            <w:tcW w:w="136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2" w:lineRule="exact"/>
              <w:ind w:left="561"/>
              <w:rPr>
                <w:rFonts w:ascii="Arial" w:eastAsia="Times New Roman" w:hAnsi="Arial" w:cs="Arial"/>
                <w:sz w:val="18"/>
                <w:szCs w:val="18"/>
                <w:lang w:val="en-US"/>
              </w:rPr>
            </w:pPr>
            <w:r>
              <w:rPr>
                <w:rFonts w:ascii="Arial" w:eastAsia="Times New Roman" w:hAnsi="Arial" w:cs="Arial"/>
                <w:sz w:val="18"/>
                <w:szCs w:val="18"/>
                <w:lang w:val="en-US"/>
              </w:rPr>
              <w:t xml:space="preserve">М </w:t>
            </w:r>
            <w:r>
              <w:rPr>
                <w:rFonts w:ascii="Arial" w:eastAsia="Times New Roman" w:hAnsi="Arial" w:cs="Arial"/>
                <w:sz w:val="18"/>
                <w:szCs w:val="18"/>
                <w:vertAlign w:val="subscript"/>
                <w:lang w:val="en-US"/>
              </w:rPr>
              <w:t>1</w:t>
            </w:r>
          </w:p>
        </w:tc>
        <w:tc>
          <w:tcPr>
            <w:tcW w:w="1536"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2" w:lineRule="exact"/>
              <w:ind w:left="657"/>
              <w:rPr>
                <w:rFonts w:ascii="Arial" w:eastAsia="Times New Roman" w:hAnsi="Arial" w:cs="Arial"/>
                <w:sz w:val="18"/>
                <w:szCs w:val="18"/>
                <w:lang w:val="en-US"/>
              </w:rPr>
            </w:pPr>
            <w:r>
              <w:rPr>
                <w:rFonts w:ascii="Arial" w:eastAsia="Times New Roman" w:hAnsi="Arial" w:cs="Arial"/>
                <w:sz w:val="18"/>
                <w:szCs w:val="18"/>
                <w:lang w:val="en-US"/>
              </w:rPr>
              <w:t xml:space="preserve">М </w:t>
            </w:r>
            <w:r>
              <w:rPr>
                <w:rFonts w:ascii="Arial" w:eastAsia="Times New Roman" w:hAnsi="Arial" w:cs="Arial"/>
                <w:sz w:val="18"/>
                <w:szCs w:val="18"/>
                <w:vertAlign w:val="subscript"/>
                <w:lang w:val="en-US"/>
              </w:rPr>
              <w:t>2</w:t>
            </w:r>
          </w:p>
        </w:tc>
        <w:tc>
          <w:tcPr>
            <w:tcW w:w="1762" w:type="dxa"/>
            <w:vMerge/>
            <w:tcBorders>
              <w:left w:val="single" w:sz="4" w:space="0" w:color="000000"/>
              <w:bottom w:val="single" w:sz="4" w:space="0" w:color="000000"/>
              <w:right w:val="single" w:sz="4" w:space="0" w:color="000000"/>
            </w:tcBorders>
          </w:tcPr>
          <w:p w:rsidR="00583D1D" w:rsidRDefault="00583D1D">
            <w:pPr>
              <w:widowControl w:val="0"/>
              <w:spacing w:after="0" w:line="240" w:lineRule="auto"/>
              <w:rPr>
                <w:rFonts w:ascii="Arial" w:eastAsia="Times New Roman" w:hAnsi="Arial" w:cs="Arial"/>
                <w:sz w:val="18"/>
                <w:szCs w:val="18"/>
                <w:lang w:val="en-US"/>
              </w:rPr>
            </w:pPr>
          </w:p>
        </w:tc>
        <w:tc>
          <w:tcPr>
            <w:tcW w:w="1289" w:type="dxa"/>
            <w:vMerge/>
            <w:tcBorders>
              <w:left w:val="single" w:sz="4" w:space="0" w:color="000000"/>
              <w:bottom w:val="single" w:sz="4" w:space="0" w:color="000000"/>
              <w:right w:val="single" w:sz="4" w:space="0" w:color="000000"/>
            </w:tcBorders>
          </w:tcPr>
          <w:p w:rsidR="00583D1D" w:rsidRDefault="00583D1D">
            <w:pPr>
              <w:widowControl w:val="0"/>
              <w:spacing w:after="0" w:line="240" w:lineRule="auto"/>
              <w:rPr>
                <w:rFonts w:ascii="Arial" w:eastAsia="Times New Roman" w:hAnsi="Arial" w:cs="Arial"/>
                <w:sz w:val="18"/>
                <w:szCs w:val="18"/>
                <w:lang w:val="en-US"/>
              </w:rPr>
            </w:pPr>
          </w:p>
        </w:tc>
        <w:tc>
          <w:tcPr>
            <w:tcW w:w="1103"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2" w:lineRule="exact"/>
              <w:ind w:left="369" w:right="361"/>
              <w:jc w:val="center"/>
              <w:rPr>
                <w:rFonts w:ascii="Arial" w:eastAsia="Times New Roman" w:hAnsi="Arial" w:cs="Arial"/>
                <w:sz w:val="18"/>
                <w:szCs w:val="18"/>
                <w:lang w:val="en-US"/>
              </w:rPr>
            </w:pPr>
            <w:r>
              <w:rPr>
                <w:rFonts w:ascii="Arial" w:eastAsia="Times New Roman" w:hAnsi="Arial" w:cs="Arial"/>
                <w:sz w:val="18"/>
                <w:szCs w:val="18"/>
                <w:lang w:val="en-US"/>
              </w:rPr>
              <w:t xml:space="preserve">m </w:t>
            </w:r>
            <w:r>
              <w:rPr>
                <w:rFonts w:ascii="Arial" w:eastAsia="Times New Roman" w:hAnsi="Arial" w:cs="Arial"/>
                <w:sz w:val="18"/>
                <w:szCs w:val="18"/>
                <w:vertAlign w:val="subscript"/>
                <w:lang w:val="en-US"/>
              </w:rPr>
              <w:t>1</w:t>
            </w:r>
          </w:p>
        </w:tc>
        <w:tc>
          <w:tcPr>
            <w:tcW w:w="125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2" w:lineRule="exact"/>
              <w:ind w:right="503"/>
              <w:jc w:val="right"/>
              <w:rPr>
                <w:rFonts w:ascii="Arial" w:eastAsia="Times New Roman" w:hAnsi="Arial" w:cs="Arial"/>
                <w:sz w:val="18"/>
                <w:szCs w:val="18"/>
                <w:lang w:val="en-US"/>
              </w:rPr>
            </w:pPr>
            <w:r>
              <w:rPr>
                <w:rFonts w:ascii="Arial" w:eastAsia="Times New Roman" w:hAnsi="Arial" w:cs="Arial"/>
                <w:sz w:val="18"/>
                <w:szCs w:val="18"/>
                <w:lang w:val="en-US"/>
              </w:rPr>
              <w:t xml:space="preserve">m </w:t>
            </w:r>
            <w:r>
              <w:rPr>
                <w:rFonts w:ascii="Arial" w:eastAsia="Times New Roman" w:hAnsi="Arial" w:cs="Arial"/>
                <w:sz w:val="18"/>
                <w:szCs w:val="18"/>
                <w:vertAlign w:val="subscript"/>
                <w:lang w:val="en-US"/>
              </w:rPr>
              <w:t>2</w:t>
            </w:r>
          </w:p>
        </w:tc>
      </w:tr>
      <w:tr w:rsidR="00583D1D">
        <w:trPr>
          <w:trHeight w:val="291"/>
          <w:jc w:val="center"/>
        </w:trPr>
        <w:tc>
          <w:tcPr>
            <w:tcW w:w="136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518"/>
              <w:rPr>
                <w:rFonts w:ascii="Arial" w:eastAsia="Times New Roman" w:hAnsi="Arial" w:cs="Arial"/>
                <w:sz w:val="18"/>
                <w:szCs w:val="18"/>
                <w:lang w:val="en-US"/>
              </w:rPr>
            </w:pPr>
            <w:r>
              <w:rPr>
                <w:rFonts w:ascii="Arial" w:eastAsia="Times New Roman" w:hAnsi="Arial" w:cs="Arial"/>
                <w:sz w:val="18"/>
                <w:szCs w:val="18"/>
                <w:lang w:val="en-US"/>
              </w:rPr>
              <w:t>0,20</w:t>
            </w:r>
          </w:p>
        </w:tc>
        <w:tc>
          <w:tcPr>
            <w:tcW w:w="1536"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614"/>
              <w:rPr>
                <w:rFonts w:ascii="Arial" w:eastAsia="Times New Roman" w:hAnsi="Arial" w:cs="Arial"/>
                <w:sz w:val="18"/>
                <w:szCs w:val="18"/>
                <w:lang w:val="en-US"/>
              </w:rPr>
            </w:pPr>
            <w:r>
              <w:rPr>
                <w:rFonts w:ascii="Arial" w:eastAsia="Times New Roman" w:hAnsi="Arial" w:cs="Arial"/>
                <w:sz w:val="18"/>
                <w:szCs w:val="18"/>
                <w:lang w:val="en-US"/>
              </w:rPr>
              <w:t>0,80</w:t>
            </w:r>
          </w:p>
        </w:tc>
        <w:tc>
          <w:tcPr>
            <w:tcW w:w="1762"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727" w:right="713"/>
              <w:jc w:val="center"/>
              <w:rPr>
                <w:rFonts w:ascii="Arial" w:eastAsia="Times New Roman" w:hAnsi="Arial" w:cs="Arial"/>
                <w:sz w:val="18"/>
                <w:szCs w:val="18"/>
                <w:lang w:val="en-US"/>
              </w:rPr>
            </w:pPr>
            <w:r>
              <w:rPr>
                <w:rFonts w:ascii="Arial" w:eastAsia="Times New Roman" w:hAnsi="Arial" w:cs="Arial"/>
                <w:sz w:val="18"/>
                <w:szCs w:val="18"/>
                <w:lang w:val="en-US"/>
              </w:rPr>
              <w:t>4,2</w:t>
            </w:r>
          </w:p>
        </w:tc>
        <w:tc>
          <w:tcPr>
            <w:tcW w:w="128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513" w:right="507"/>
              <w:jc w:val="center"/>
              <w:rPr>
                <w:rFonts w:ascii="Arial" w:eastAsia="Times New Roman" w:hAnsi="Arial" w:cs="Arial"/>
                <w:sz w:val="18"/>
                <w:szCs w:val="18"/>
                <w:lang w:val="en-US"/>
              </w:rPr>
            </w:pPr>
            <w:r>
              <w:rPr>
                <w:rFonts w:ascii="Arial" w:eastAsia="Times New Roman" w:hAnsi="Arial" w:cs="Arial"/>
                <w:sz w:val="18"/>
                <w:szCs w:val="18"/>
                <w:lang w:val="en-US"/>
              </w:rPr>
              <w:t>3,3</w:t>
            </w:r>
          </w:p>
        </w:tc>
        <w:tc>
          <w:tcPr>
            <w:tcW w:w="1103"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369" w:right="361"/>
              <w:jc w:val="center"/>
              <w:rPr>
                <w:rFonts w:ascii="Arial" w:eastAsia="Times New Roman" w:hAnsi="Arial" w:cs="Arial"/>
                <w:sz w:val="18"/>
                <w:szCs w:val="18"/>
                <w:lang w:val="en-US"/>
              </w:rPr>
            </w:pPr>
            <w:r>
              <w:rPr>
                <w:rFonts w:ascii="Arial" w:eastAsia="Times New Roman" w:hAnsi="Arial" w:cs="Arial"/>
                <w:sz w:val="18"/>
                <w:szCs w:val="18"/>
                <w:lang w:val="en-US"/>
              </w:rPr>
              <w:t>0,28</w:t>
            </w:r>
          </w:p>
        </w:tc>
        <w:tc>
          <w:tcPr>
            <w:tcW w:w="125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right="445"/>
              <w:jc w:val="right"/>
              <w:rPr>
                <w:rFonts w:ascii="Arial" w:eastAsia="Times New Roman" w:hAnsi="Arial" w:cs="Arial"/>
                <w:sz w:val="18"/>
                <w:szCs w:val="18"/>
                <w:lang w:val="en-US"/>
              </w:rPr>
            </w:pPr>
            <w:r>
              <w:rPr>
                <w:rFonts w:ascii="Arial" w:eastAsia="Times New Roman" w:hAnsi="Arial" w:cs="Arial"/>
                <w:w w:val="95"/>
                <w:sz w:val="18"/>
                <w:szCs w:val="18"/>
                <w:lang w:val="en-US"/>
              </w:rPr>
              <w:t>0,72</w:t>
            </w:r>
          </w:p>
        </w:tc>
      </w:tr>
      <w:tr w:rsidR="00583D1D">
        <w:trPr>
          <w:trHeight w:val="291"/>
          <w:jc w:val="center"/>
        </w:trPr>
        <w:tc>
          <w:tcPr>
            <w:tcW w:w="136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518"/>
              <w:rPr>
                <w:rFonts w:ascii="Arial" w:eastAsia="Times New Roman" w:hAnsi="Arial" w:cs="Arial"/>
                <w:sz w:val="18"/>
                <w:szCs w:val="18"/>
                <w:lang w:val="en-US"/>
              </w:rPr>
            </w:pPr>
            <w:r>
              <w:rPr>
                <w:rFonts w:ascii="Arial" w:eastAsia="Times New Roman" w:hAnsi="Arial" w:cs="Arial"/>
                <w:sz w:val="18"/>
                <w:szCs w:val="18"/>
                <w:lang w:val="en-US"/>
              </w:rPr>
              <w:t>0,35</w:t>
            </w:r>
          </w:p>
        </w:tc>
        <w:tc>
          <w:tcPr>
            <w:tcW w:w="1536"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614"/>
              <w:rPr>
                <w:rFonts w:ascii="Arial" w:eastAsia="Times New Roman" w:hAnsi="Arial" w:cs="Arial"/>
                <w:sz w:val="18"/>
                <w:szCs w:val="18"/>
                <w:lang w:val="en-US"/>
              </w:rPr>
            </w:pPr>
            <w:r>
              <w:rPr>
                <w:rFonts w:ascii="Arial" w:eastAsia="Times New Roman" w:hAnsi="Arial" w:cs="Arial"/>
                <w:sz w:val="18"/>
                <w:szCs w:val="18"/>
                <w:lang w:val="en-US"/>
              </w:rPr>
              <w:t>0,65</w:t>
            </w:r>
          </w:p>
        </w:tc>
        <w:tc>
          <w:tcPr>
            <w:tcW w:w="1762"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728" w:right="713"/>
              <w:jc w:val="center"/>
              <w:rPr>
                <w:rFonts w:ascii="Arial" w:eastAsia="Times New Roman" w:hAnsi="Arial" w:cs="Arial"/>
                <w:sz w:val="18"/>
                <w:szCs w:val="18"/>
                <w:lang w:val="en-US"/>
              </w:rPr>
            </w:pPr>
            <w:r>
              <w:rPr>
                <w:rFonts w:ascii="Arial" w:eastAsia="Times New Roman" w:hAnsi="Arial" w:cs="Arial"/>
                <w:sz w:val="18"/>
                <w:szCs w:val="18"/>
                <w:lang w:val="en-US"/>
              </w:rPr>
              <w:t>5,8</w:t>
            </w:r>
          </w:p>
        </w:tc>
        <w:tc>
          <w:tcPr>
            <w:tcW w:w="128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513" w:right="507"/>
              <w:jc w:val="center"/>
              <w:rPr>
                <w:rFonts w:ascii="Arial" w:eastAsia="Times New Roman" w:hAnsi="Arial" w:cs="Arial"/>
                <w:sz w:val="18"/>
                <w:szCs w:val="18"/>
                <w:lang w:val="en-US"/>
              </w:rPr>
            </w:pPr>
            <w:r>
              <w:rPr>
                <w:rFonts w:ascii="Arial" w:eastAsia="Times New Roman" w:hAnsi="Arial" w:cs="Arial"/>
                <w:sz w:val="18"/>
                <w:szCs w:val="18"/>
                <w:lang w:val="en-US"/>
              </w:rPr>
              <w:t>4,2</w:t>
            </w:r>
          </w:p>
        </w:tc>
        <w:tc>
          <w:tcPr>
            <w:tcW w:w="1103"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left="369" w:right="361"/>
              <w:jc w:val="center"/>
              <w:rPr>
                <w:rFonts w:ascii="Arial" w:eastAsia="Times New Roman" w:hAnsi="Arial" w:cs="Arial"/>
                <w:sz w:val="18"/>
                <w:szCs w:val="18"/>
                <w:lang w:val="en-US"/>
              </w:rPr>
            </w:pPr>
            <w:r>
              <w:rPr>
                <w:rFonts w:ascii="Arial" w:eastAsia="Times New Roman" w:hAnsi="Arial" w:cs="Arial"/>
                <w:sz w:val="18"/>
                <w:szCs w:val="18"/>
                <w:lang w:val="en-US"/>
              </w:rPr>
              <w:t>0,38</w:t>
            </w:r>
          </w:p>
        </w:tc>
        <w:tc>
          <w:tcPr>
            <w:tcW w:w="125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301" w:lineRule="exact"/>
              <w:ind w:right="445"/>
              <w:jc w:val="right"/>
              <w:rPr>
                <w:rFonts w:ascii="Arial" w:eastAsia="Times New Roman" w:hAnsi="Arial" w:cs="Arial"/>
                <w:sz w:val="18"/>
                <w:szCs w:val="18"/>
                <w:lang w:val="en-US"/>
              </w:rPr>
            </w:pPr>
            <w:r>
              <w:rPr>
                <w:rFonts w:ascii="Arial" w:eastAsia="Times New Roman" w:hAnsi="Arial" w:cs="Arial"/>
                <w:w w:val="95"/>
                <w:sz w:val="18"/>
                <w:szCs w:val="18"/>
                <w:lang w:val="en-US"/>
              </w:rPr>
              <w:t>0,62</w:t>
            </w:r>
          </w:p>
        </w:tc>
      </w:tr>
      <w:tr w:rsidR="00583D1D">
        <w:trPr>
          <w:trHeight w:val="291"/>
          <w:jc w:val="center"/>
        </w:trPr>
        <w:tc>
          <w:tcPr>
            <w:tcW w:w="136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8"/>
              <w:rPr>
                <w:rFonts w:ascii="Arial" w:eastAsia="Times New Roman" w:hAnsi="Arial" w:cs="Arial"/>
                <w:sz w:val="18"/>
                <w:szCs w:val="18"/>
                <w:lang w:val="en-US"/>
              </w:rPr>
            </w:pPr>
            <w:r>
              <w:rPr>
                <w:rFonts w:ascii="Arial" w:eastAsia="Times New Roman" w:hAnsi="Arial" w:cs="Arial"/>
                <w:sz w:val="18"/>
                <w:szCs w:val="18"/>
                <w:lang w:val="en-US"/>
              </w:rPr>
              <w:t>0,50</w:t>
            </w:r>
          </w:p>
        </w:tc>
        <w:tc>
          <w:tcPr>
            <w:tcW w:w="1536"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614"/>
              <w:rPr>
                <w:rFonts w:ascii="Arial" w:eastAsia="Times New Roman" w:hAnsi="Arial" w:cs="Arial"/>
                <w:sz w:val="18"/>
                <w:szCs w:val="18"/>
                <w:lang w:val="en-US"/>
              </w:rPr>
            </w:pPr>
            <w:r>
              <w:rPr>
                <w:rFonts w:ascii="Arial" w:eastAsia="Times New Roman" w:hAnsi="Arial" w:cs="Arial"/>
                <w:sz w:val="18"/>
                <w:szCs w:val="18"/>
                <w:lang w:val="en-US"/>
              </w:rPr>
              <w:t>0,50</w:t>
            </w:r>
          </w:p>
        </w:tc>
        <w:tc>
          <w:tcPr>
            <w:tcW w:w="1762"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728" w:right="713"/>
              <w:jc w:val="center"/>
              <w:rPr>
                <w:rFonts w:ascii="Arial" w:eastAsia="Times New Roman" w:hAnsi="Arial" w:cs="Arial"/>
                <w:sz w:val="18"/>
                <w:szCs w:val="18"/>
                <w:lang w:val="en-US"/>
              </w:rPr>
            </w:pPr>
            <w:r>
              <w:rPr>
                <w:rFonts w:ascii="Arial" w:eastAsia="Times New Roman" w:hAnsi="Arial" w:cs="Arial"/>
                <w:sz w:val="18"/>
                <w:szCs w:val="18"/>
                <w:lang w:val="en-US"/>
              </w:rPr>
              <w:t>6,8</w:t>
            </w:r>
          </w:p>
        </w:tc>
        <w:tc>
          <w:tcPr>
            <w:tcW w:w="128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3" w:right="507"/>
              <w:jc w:val="center"/>
              <w:rPr>
                <w:rFonts w:ascii="Arial" w:eastAsia="Times New Roman" w:hAnsi="Arial" w:cs="Arial"/>
                <w:sz w:val="18"/>
                <w:szCs w:val="18"/>
                <w:lang w:val="en-US"/>
              </w:rPr>
            </w:pPr>
            <w:r>
              <w:rPr>
                <w:rFonts w:ascii="Arial" w:eastAsia="Times New Roman" w:hAnsi="Arial" w:cs="Arial"/>
                <w:sz w:val="18"/>
                <w:szCs w:val="18"/>
                <w:lang w:val="en-US"/>
              </w:rPr>
              <w:t>5,7</w:t>
            </w:r>
          </w:p>
        </w:tc>
        <w:tc>
          <w:tcPr>
            <w:tcW w:w="1103"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369" w:right="361"/>
              <w:jc w:val="center"/>
              <w:rPr>
                <w:rFonts w:ascii="Arial" w:eastAsia="Times New Roman" w:hAnsi="Arial" w:cs="Arial"/>
                <w:sz w:val="18"/>
                <w:szCs w:val="18"/>
                <w:lang w:val="en-US"/>
              </w:rPr>
            </w:pPr>
            <w:r>
              <w:rPr>
                <w:rFonts w:ascii="Arial" w:eastAsia="Times New Roman" w:hAnsi="Arial" w:cs="Arial"/>
                <w:sz w:val="18"/>
                <w:szCs w:val="18"/>
                <w:lang w:val="en-US"/>
              </w:rPr>
              <w:t>0,45</w:t>
            </w:r>
          </w:p>
        </w:tc>
        <w:tc>
          <w:tcPr>
            <w:tcW w:w="125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right="445"/>
              <w:jc w:val="right"/>
              <w:rPr>
                <w:rFonts w:ascii="Arial" w:eastAsia="Times New Roman" w:hAnsi="Arial" w:cs="Arial"/>
                <w:sz w:val="18"/>
                <w:szCs w:val="18"/>
                <w:lang w:val="en-US"/>
              </w:rPr>
            </w:pPr>
            <w:r>
              <w:rPr>
                <w:rFonts w:ascii="Arial" w:eastAsia="Times New Roman" w:hAnsi="Arial" w:cs="Arial"/>
                <w:w w:val="95"/>
                <w:sz w:val="18"/>
                <w:szCs w:val="18"/>
                <w:lang w:val="en-US"/>
              </w:rPr>
              <w:t>0,55</w:t>
            </w:r>
          </w:p>
        </w:tc>
      </w:tr>
      <w:tr w:rsidR="00583D1D">
        <w:trPr>
          <w:trHeight w:val="291"/>
          <w:jc w:val="center"/>
        </w:trPr>
        <w:tc>
          <w:tcPr>
            <w:tcW w:w="136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8"/>
              <w:rPr>
                <w:rFonts w:ascii="Arial" w:eastAsia="Times New Roman" w:hAnsi="Arial" w:cs="Arial"/>
                <w:sz w:val="18"/>
                <w:szCs w:val="18"/>
                <w:lang w:val="en-US"/>
              </w:rPr>
            </w:pPr>
            <w:r>
              <w:rPr>
                <w:rFonts w:ascii="Arial" w:eastAsia="Times New Roman" w:hAnsi="Arial" w:cs="Arial"/>
                <w:sz w:val="18"/>
                <w:szCs w:val="18"/>
                <w:lang w:val="en-US"/>
              </w:rPr>
              <w:t>0,65</w:t>
            </w:r>
          </w:p>
        </w:tc>
        <w:tc>
          <w:tcPr>
            <w:tcW w:w="1536"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614"/>
              <w:rPr>
                <w:rFonts w:ascii="Arial" w:eastAsia="Times New Roman" w:hAnsi="Arial" w:cs="Arial"/>
                <w:sz w:val="18"/>
                <w:szCs w:val="18"/>
                <w:lang w:val="en-US"/>
              </w:rPr>
            </w:pPr>
            <w:r>
              <w:rPr>
                <w:rFonts w:ascii="Arial" w:eastAsia="Times New Roman" w:hAnsi="Arial" w:cs="Arial"/>
                <w:sz w:val="18"/>
                <w:szCs w:val="18"/>
                <w:lang w:val="en-US"/>
              </w:rPr>
              <w:t>0,35</w:t>
            </w:r>
          </w:p>
        </w:tc>
        <w:tc>
          <w:tcPr>
            <w:tcW w:w="1762"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727" w:right="713"/>
              <w:jc w:val="center"/>
              <w:rPr>
                <w:rFonts w:ascii="Arial" w:eastAsia="Times New Roman" w:hAnsi="Arial" w:cs="Arial"/>
                <w:sz w:val="18"/>
                <w:szCs w:val="18"/>
                <w:lang w:val="en-US"/>
              </w:rPr>
            </w:pPr>
            <w:r>
              <w:rPr>
                <w:rFonts w:ascii="Arial" w:eastAsia="Times New Roman" w:hAnsi="Arial" w:cs="Arial"/>
                <w:sz w:val="18"/>
                <w:szCs w:val="18"/>
                <w:lang w:val="en-US"/>
              </w:rPr>
              <w:t>7,9</w:t>
            </w:r>
          </w:p>
        </w:tc>
        <w:tc>
          <w:tcPr>
            <w:tcW w:w="128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3" w:right="507"/>
              <w:jc w:val="center"/>
              <w:rPr>
                <w:rFonts w:ascii="Arial" w:eastAsia="Times New Roman" w:hAnsi="Arial" w:cs="Arial"/>
                <w:sz w:val="18"/>
                <w:szCs w:val="18"/>
                <w:lang w:val="en-US"/>
              </w:rPr>
            </w:pPr>
            <w:r>
              <w:rPr>
                <w:rFonts w:ascii="Arial" w:eastAsia="Times New Roman" w:hAnsi="Arial" w:cs="Arial"/>
                <w:sz w:val="18"/>
                <w:szCs w:val="18"/>
                <w:lang w:val="en-US"/>
              </w:rPr>
              <w:t>6,8</w:t>
            </w:r>
          </w:p>
        </w:tc>
        <w:tc>
          <w:tcPr>
            <w:tcW w:w="1103"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369" w:right="361"/>
              <w:jc w:val="center"/>
              <w:rPr>
                <w:rFonts w:ascii="Arial" w:eastAsia="Times New Roman" w:hAnsi="Arial" w:cs="Arial"/>
                <w:sz w:val="18"/>
                <w:szCs w:val="18"/>
                <w:lang w:val="en-US"/>
              </w:rPr>
            </w:pPr>
            <w:r>
              <w:rPr>
                <w:rFonts w:ascii="Arial" w:eastAsia="Times New Roman" w:hAnsi="Arial" w:cs="Arial"/>
                <w:sz w:val="18"/>
                <w:szCs w:val="18"/>
                <w:lang w:val="en-US"/>
              </w:rPr>
              <w:t>0,52</w:t>
            </w:r>
          </w:p>
        </w:tc>
        <w:tc>
          <w:tcPr>
            <w:tcW w:w="125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right="445"/>
              <w:jc w:val="right"/>
              <w:rPr>
                <w:rFonts w:ascii="Arial" w:eastAsia="Times New Roman" w:hAnsi="Arial" w:cs="Arial"/>
                <w:sz w:val="18"/>
                <w:szCs w:val="18"/>
                <w:lang w:val="en-US"/>
              </w:rPr>
            </w:pPr>
            <w:r>
              <w:rPr>
                <w:rFonts w:ascii="Arial" w:eastAsia="Times New Roman" w:hAnsi="Arial" w:cs="Arial"/>
                <w:w w:val="95"/>
                <w:sz w:val="18"/>
                <w:szCs w:val="18"/>
                <w:lang w:val="en-US"/>
              </w:rPr>
              <w:t>0,48</w:t>
            </w:r>
          </w:p>
        </w:tc>
      </w:tr>
      <w:tr w:rsidR="00583D1D">
        <w:trPr>
          <w:trHeight w:val="291"/>
          <w:jc w:val="center"/>
        </w:trPr>
        <w:tc>
          <w:tcPr>
            <w:tcW w:w="136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8"/>
              <w:rPr>
                <w:rFonts w:ascii="Arial" w:eastAsia="Times New Roman" w:hAnsi="Arial" w:cs="Arial"/>
                <w:sz w:val="18"/>
                <w:szCs w:val="18"/>
                <w:lang w:val="en-US"/>
              </w:rPr>
            </w:pPr>
            <w:r>
              <w:rPr>
                <w:rFonts w:ascii="Arial" w:eastAsia="Times New Roman" w:hAnsi="Arial" w:cs="Arial"/>
                <w:sz w:val="18"/>
                <w:szCs w:val="18"/>
                <w:lang w:val="en-US"/>
              </w:rPr>
              <w:t>0,80</w:t>
            </w:r>
          </w:p>
        </w:tc>
        <w:tc>
          <w:tcPr>
            <w:tcW w:w="1536"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614"/>
              <w:rPr>
                <w:rFonts w:ascii="Arial" w:eastAsia="Times New Roman" w:hAnsi="Arial" w:cs="Arial"/>
                <w:sz w:val="18"/>
                <w:szCs w:val="18"/>
                <w:lang w:val="en-US"/>
              </w:rPr>
            </w:pPr>
            <w:r>
              <w:rPr>
                <w:rFonts w:ascii="Arial" w:eastAsia="Times New Roman" w:hAnsi="Arial" w:cs="Arial"/>
                <w:sz w:val="18"/>
                <w:szCs w:val="18"/>
                <w:lang w:val="en-US"/>
              </w:rPr>
              <w:t>0,20</w:t>
            </w:r>
          </w:p>
        </w:tc>
        <w:tc>
          <w:tcPr>
            <w:tcW w:w="1762"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727" w:right="713"/>
              <w:jc w:val="center"/>
              <w:rPr>
                <w:rFonts w:ascii="Arial" w:eastAsia="Times New Roman" w:hAnsi="Arial" w:cs="Arial"/>
                <w:sz w:val="18"/>
                <w:szCs w:val="18"/>
                <w:lang w:val="en-US"/>
              </w:rPr>
            </w:pPr>
            <w:r>
              <w:rPr>
                <w:rFonts w:ascii="Arial" w:eastAsia="Times New Roman" w:hAnsi="Arial" w:cs="Arial"/>
                <w:sz w:val="18"/>
                <w:szCs w:val="18"/>
                <w:lang w:val="en-US"/>
              </w:rPr>
              <w:t>9,9</w:t>
            </w:r>
          </w:p>
        </w:tc>
        <w:tc>
          <w:tcPr>
            <w:tcW w:w="128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3" w:right="507"/>
              <w:jc w:val="center"/>
              <w:rPr>
                <w:rFonts w:ascii="Arial" w:eastAsia="Times New Roman" w:hAnsi="Arial" w:cs="Arial"/>
                <w:sz w:val="18"/>
                <w:szCs w:val="18"/>
                <w:lang w:val="en-US"/>
              </w:rPr>
            </w:pPr>
            <w:r>
              <w:rPr>
                <w:rFonts w:ascii="Arial" w:eastAsia="Times New Roman" w:hAnsi="Arial" w:cs="Arial"/>
                <w:sz w:val="18"/>
                <w:szCs w:val="18"/>
                <w:lang w:val="en-US"/>
              </w:rPr>
              <w:t>7,7</w:t>
            </w:r>
          </w:p>
        </w:tc>
        <w:tc>
          <w:tcPr>
            <w:tcW w:w="1103"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369" w:right="361"/>
              <w:jc w:val="center"/>
              <w:rPr>
                <w:rFonts w:ascii="Arial" w:eastAsia="Times New Roman" w:hAnsi="Arial" w:cs="Arial"/>
                <w:sz w:val="18"/>
                <w:szCs w:val="18"/>
                <w:lang w:val="en-US"/>
              </w:rPr>
            </w:pPr>
            <w:r>
              <w:rPr>
                <w:rFonts w:ascii="Arial" w:eastAsia="Times New Roman" w:hAnsi="Arial" w:cs="Arial"/>
                <w:sz w:val="18"/>
                <w:szCs w:val="18"/>
                <w:lang w:val="en-US"/>
              </w:rPr>
              <w:t>0,65</w:t>
            </w:r>
          </w:p>
        </w:tc>
        <w:tc>
          <w:tcPr>
            <w:tcW w:w="125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right="445"/>
              <w:jc w:val="right"/>
              <w:rPr>
                <w:rFonts w:ascii="Arial" w:eastAsia="Times New Roman" w:hAnsi="Arial" w:cs="Arial"/>
                <w:sz w:val="18"/>
                <w:szCs w:val="18"/>
                <w:lang w:val="en-US"/>
              </w:rPr>
            </w:pPr>
            <w:r>
              <w:rPr>
                <w:rFonts w:ascii="Arial" w:eastAsia="Times New Roman" w:hAnsi="Arial" w:cs="Arial"/>
                <w:w w:val="95"/>
                <w:sz w:val="18"/>
                <w:szCs w:val="18"/>
                <w:lang w:val="en-US"/>
              </w:rPr>
              <w:t>0,35</w:t>
            </w:r>
          </w:p>
        </w:tc>
      </w:tr>
    </w:tbl>
    <w:p w:rsidR="002511A9" w:rsidRDefault="002511A9">
      <w:pPr>
        <w:widowControl w:val="0"/>
        <w:spacing w:after="0" w:line="276" w:lineRule="auto"/>
        <w:ind w:right="218"/>
        <w:jc w:val="both"/>
        <w:rPr>
          <w:rFonts w:ascii="Arial" w:hAnsi="Arial" w:cs="Arial"/>
          <w:sz w:val="18"/>
          <w:lang w:val="en-US"/>
        </w:rPr>
      </w:pPr>
      <w:r>
        <w:rPr>
          <w:rFonts w:ascii="Arial" w:eastAsia="Times New Roman" w:hAnsi="Arial" w:cs="Arial"/>
          <w:color w:val="FF0000"/>
          <w:sz w:val="18"/>
          <w:szCs w:val="18"/>
          <w:lang w:val="en-US"/>
        </w:rPr>
        <w:tab/>
      </w:r>
      <w:r w:rsidR="00446AC9" w:rsidRPr="00446AC9">
        <w:rPr>
          <w:rFonts w:ascii="Arial" w:hAnsi="Arial" w:cs="Arial"/>
          <w:sz w:val="18"/>
          <w:lang w:val="en-US"/>
        </w:rPr>
        <w:t xml:space="preserve">As shown in Table 1, the copolymer composition differs from the initial monomer feed, indicating different </w:t>
      </w:r>
      <w:proofErr w:type="spellStart"/>
      <w:r w:rsidR="00446AC9" w:rsidRPr="00446AC9">
        <w:rPr>
          <w:rFonts w:ascii="Arial" w:hAnsi="Arial" w:cs="Arial"/>
          <w:sz w:val="18"/>
          <w:lang w:val="en-US"/>
        </w:rPr>
        <w:t>reactivities</w:t>
      </w:r>
      <w:proofErr w:type="spellEnd"/>
      <w:r w:rsidR="00446AC9" w:rsidRPr="00446AC9">
        <w:rPr>
          <w:rFonts w:ascii="Arial" w:hAnsi="Arial" w:cs="Arial"/>
          <w:sz w:val="18"/>
          <w:lang w:val="en-US"/>
        </w:rPr>
        <w:t xml:space="preserve"> of AN and MCPA during free-radical copolymerization. At low MCPA content, the resulting copolymer contains a slightly higher proportion of MCPA units than expected from the feed composition, suggesting preferential incorporation of the heterocyclic monomer at the initial stage of polymerization. As the AN content increases, the proportion of AN units in the copolymer also increases, resulting in reduced water solubility due to the higher content of nitrile groups. These results demonstrate that the copolymer composition is governed by the relative </w:t>
      </w:r>
      <w:proofErr w:type="spellStart"/>
      <w:r w:rsidR="00446AC9" w:rsidRPr="00446AC9">
        <w:rPr>
          <w:rFonts w:ascii="Arial" w:hAnsi="Arial" w:cs="Arial"/>
          <w:sz w:val="18"/>
          <w:lang w:val="en-US"/>
        </w:rPr>
        <w:t>reactivities</w:t>
      </w:r>
      <w:proofErr w:type="spellEnd"/>
      <w:r w:rsidR="00446AC9" w:rsidRPr="00446AC9">
        <w:rPr>
          <w:rFonts w:ascii="Arial" w:hAnsi="Arial" w:cs="Arial"/>
          <w:sz w:val="18"/>
          <w:lang w:val="en-US"/>
        </w:rPr>
        <w:t xml:space="preserve"> of the two monomers and confirm the suitability of the obtained experimental data for determining the monomer reactivity ratios using the </w:t>
      </w:r>
      <w:proofErr w:type="spellStart"/>
      <w:r w:rsidR="00446AC9" w:rsidRPr="00446AC9">
        <w:rPr>
          <w:rFonts w:ascii="Arial" w:hAnsi="Arial" w:cs="Arial"/>
          <w:sz w:val="18"/>
          <w:lang w:val="en-US"/>
        </w:rPr>
        <w:t>Fineman</w:t>
      </w:r>
      <w:proofErr w:type="spellEnd"/>
      <w:r w:rsidR="00446AC9" w:rsidRPr="00446AC9">
        <w:rPr>
          <w:rFonts w:ascii="Arial" w:hAnsi="Arial" w:cs="Arial"/>
          <w:sz w:val="18"/>
          <w:lang w:val="en-US"/>
        </w:rPr>
        <w:t xml:space="preserve">–Ross </w:t>
      </w:r>
      <w:proofErr w:type="gramStart"/>
      <w:r w:rsidR="00446AC9" w:rsidRPr="00446AC9">
        <w:rPr>
          <w:rFonts w:ascii="Arial" w:hAnsi="Arial" w:cs="Arial"/>
          <w:sz w:val="18"/>
          <w:lang w:val="en-US"/>
        </w:rPr>
        <w:t>method</w:t>
      </w:r>
      <w:r w:rsidR="00E95B54">
        <w:rPr>
          <w:rFonts w:ascii="Arial" w:hAnsi="Arial" w:cs="Arial"/>
          <w:sz w:val="18"/>
          <w:lang w:val="en-US"/>
        </w:rPr>
        <w:t>(</w:t>
      </w:r>
      <w:proofErr w:type="gramEnd"/>
      <w:r w:rsidR="00E95B54">
        <w:rPr>
          <w:rFonts w:ascii="Arial" w:hAnsi="Arial" w:cs="Arial"/>
          <w:sz w:val="18"/>
          <w:lang w:val="en-US"/>
        </w:rPr>
        <w:t>Fig</w:t>
      </w:r>
      <w:r w:rsidR="004117AF">
        <w:rPr>
          <w:rFonts w:ascii="Arial" w:hAnsi="Arial" w:cs="Arial"/>
          <w:sz w:val="18"/>
          <w:lang w:val="en-US"/>
        </w:rPr>
        <w:t>ure</w:t>
      </w:r>
      <w:r w:rsidR="00E95B54">
        <w:rPr>
          <w:rFonts w:ascii="Arial" w:hAnsi="Arial" w:cs="Arial"/>
          <w:sz w:val="18"/>
          <w:lang w:val="en-US"/>
        </w:rPr>
        <w:t xml:space="preserve"> 2). </w:t>
      </w:r>
    </w:p>
    <w:p w:rsidR="00F112E0" w:rsidRDefault="00F112E0">
      <w:pPr>
        <w:widowControl w:val="0"/>
        <w:spacing w:after="0" w:line="276" w:lineRule="auto"/>
        <w:ind w:right="218"/>
        <w:jc w:val="both"/>
        <w:rPr>
          <w:rFonts w:ascii="Arial" w:hAnsi="Arial" w:cs="Arial"/>
          <w:sz w:val="18"/>
          <w:lang w:val="en-US"/>
        </w:rPr>
      </w:pPr>
    </w:p>
    <w:p w:rsidR="00297CD7" w:rsidRDefault="00446AC9" w:rsidP="002511A9">
      <w:pPr>
        <w:widowControl w:val="0"/>
        <w:spacing w:after="0" w:line="276" w:lineRule="auto"/>
        <w:ind w:right="218"/>
        <w:jc w:val="center"/>
        <w:rPr>
          <w:noProof/>
          <w:lang w:val="en-US" w:eastAsia="ru-RU"/>
        </w:rPr>
      </w:pPr>
      <w:r w:rsidRPr="00446AC9">
        <w:rPr>
          <w:rFonts w:ascii="Arial" w:hAnsi="Arial" w:cs="Arial"/>
          <w:sz w:val="18"/>
          <w:lang w:val="en-US"/>
        </w:rPr>
        <w:t>.</w:t>
      </w:r>
      <w:r w:rsidR="002511A9" w:rsidRPr="002511A9">
        <w:rPr>
          <w:noProof/>
          <w:lang w:val="en-US" w:eastAsia="ru-RU"/>
        </w:rPr>
        <w:t xml:space="preserve"> </w:t>
      </w:r>
      <w:r w:rsidR="002511A9" w:rsidRPr="002511A9">
        <w:rPr>
          <w:noProof/>
          <w:lang w:eastAsia="ru-RU"/>
        </w:rPr>
        <w:drawing>
          <wp:inline distT="0" distB="0" distL="0" distR="0" wp14:anchorId="09E61132" wp14:editId="10C23DB6">
            <wp:extent cx="2933700" cy="1695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43707" cy="1701233"/>
                    </a:xfrm>
                    <a:prstGeom prst="rect">
                      <a:avLst/>
                    </a:prstGeom>
                  </pic:spPr>
                </pic:pic>
              </a:graphicData>
            </a:graphic>
          </wp:inline>
        </w:drawing>
      </w:r>
    </w:p>
    <w:p w:rsidR="002511A9" w:rsidRDefault="002511A9" w:rsidP="002511A9">
      <w:pPr>
        <w:widowControl w:val="0"/>
        <w:spacing w:after="0" w:line="276" w:lineRule="auto"/>
        <w:ind w:right="218"/>
        <w:jc w:val="both"/>
        <w:rPr>
          <w:rFonts w:ascii="Arial" w:hAnsi="Arial" w:cs="Arial"/>
          <w:iCs/>
          <w:sz w:val="18"/>
          <w:lang w:val="en-US"/>
        </w:rPr>
      </w:pPr>
      <w:r w:rsidRPr="002511A9">
        <w:rPr>
          <w:rFonts w:ascii="Arial" w:hAnsi="Arial" w:cs="Arial"/>
          <w:bCs/>
          <w:sz w:val="18"/>
          <w:lang w:val="en-US"/>
        </w:rPr>
        <w:lastRenderedPageBreak/>
        <w:t xml:space="preserve">Figure 2: </w:t>
      </w:r>
      <w:proofErr w:type="spellStart"/>
      <w:r w:rsidRPr="002511A9">
        <w:rPr>
          <w:rFonts w:ascii="Arial" w:hAnsi="Arial" w:cs="Arial"/>
          <w:iCs/>
          <w:sz w:val="18"/>
          <w:lang w:val="en-US"/>
        </w:rPr>
        <w:t>Fineman</w:t>
      </w:r>
      <w:proofErr w:type="spellEnd"/>
      <w:r w:rsidRPr="002511A9">
        <w:rPr>
          <w:rFonts w:ascii="Arial" w:hAnsi="Arial" w:cs="Arial"/>
          <w:iCs/>
          <w:sz w:val="18"/>
          <w:lang w:val="en-US"/>
        </w:rPr>
        <w:t>–Ross plot for determining the monomer reactivity ratios in the AN–MCPA copolymerization system.</w:t>
      </w:r>
    </w:p>
    <w:p w:rsidR="002511A9" w:rsidRDefault="002511A9" w:rsidP="002511A9">
      <w:pPr>
        <w:widowControl w:val="0"/>
        <w:spacing w:after="0" w:line="276" w:lineRule="auto"/>
        <w:ind w:right="218" w:firstLine="708"/>
        <w:jc w:val="both"/>
        <w:rPr>
          <w:rFonts w:ascii="Arial" w:hAnsi="Arial" w:cs="Arial"/>
          <w:sz w:val="18"/>
          <w:lang w:val="en-US"/>
        </w:rPr>
      </w:pPr>
      <w:r w:rsidRPr="002511A9">
        <w:rPr>
          <w:rFonts w:ascii="Arial" w:hAnsi="Arial" w:cs="Arial"/>
          <w:sz w:val="18"/>
          <w:lang w:val="en-US"/>
        </w:rPr>
        <w:t xml:space="preserve">The monomer reactivity ratios were determined using the linearized </w:t>
      </w:r>
      <w:proofErr w:type="spellStart"/>
      <w:r w:rsidRPr="002511A9">
        <w:rPr>
          <w:rFonts w:ascii="Arial" w:hAnsi="Arial" w:cs="Arial"/>
          <w:sz w:val="18"/>
          <w:lang w:val="en-US"/>
        </w:rPr>
        <w:t>Fineman</w:t>
      </w:r>
      <w:proofErr w:type="spellEnd"/>
      <w:r w:rsidRPr="002511A9">
        <w:rPr>
          <w:rFonts w:ascii="Arial" w:hAnsi="Arial" w:cs="Arial"/>
          <w:sz w:val="18"/>
          <w:lang w:val="en-US"/>
        </w:rPr>
        <w:t xml:space="preserve">–Ross equation. As illustrated in Figure 2, the experimental copolymer composition data exhibit a satisfactory linear relationship, confirming the applicability of the </w:t>
      </w:r>
      <w:proofErr w:type="spellStart"/>
      <w:r w:rsidRPr="002511A9">
        <w:rPr>
          <w:rFonts w:ascii="Arial" w:hAnsi="Arial" w:cs="Arial"/>
          <w:sz w:val="18"/>
          <w:lang w:val="en-US"/>
        </w:rPr>
        <w:t>Fineman</w:t>
      </w:r>
      <w:proofErr w:type="spellEnd"/>
      <w:r w:rsidRPr="002511A9">
        <w:rPr>
          <w:rFonts w:ascii="Arial" w:hAnsi="Arial" w:cs="Arial"/>
          <w:sz w:val="18"/>
          <w:lang w:val="en-US"/>
        </w:rPr>
        <w:t xml:space="preserve">–Ross model to the AN–MCPA copolymerization system. The graphical analysis was used to calculate the reactivity ratios of the </w:t>
      </w:r>
      <w:proofErr w:type="spellStart"/>
      <w:r w:rsidRPr="002511A9">
        <w:rPr>
          <w:rFonts w:ascii="Arial" w:hAnsi="Arial" w:cs="Arial"/>
          <w:sz w:val="18"/>
          <w:lang w:val="en-US"/>
        </w:rPr>
        <w:t>comonomers</w:t>
      </w:r>
      <w:proofErr w:type="spellEnd"/>
      <w:r w:rsidRPr="002511A9">
        <w:rPr>
          <w:rFonts w:ascii="Arial" w:hAnsi="Arial" w:cs="Arial"/>
          <w:sz w:val="18"/>
          <w:lang w:val="en-US"/>
        </w:rPr>
        <w:t>, and the corresponding numerical values are summarized in Table 2.</w:t>
      </w:r>
    </w:p>
    <w:p w:rsidR="00583D1D" w:rsidRDefault="002511A9" w:rsidP="002511A9">
      <w:pPr>
        <w:widowControl w:val="0"/>
        <w:spacing w:after="0" w:line="276" w:lineRule="auto"/>
        <w:ind w:right="218" w:firstLine="708"/>
        <w:jc w:val="both"/>
        <w:rPr>
          <w:rFonts w:ascii="Arial" w:eastAsia="Times New Roman" w:hAnsi="Arial" w:cs="Arial"/>
          <w:sz w:val="18"/>
          <w:szCs w:val="18"/>
          <w:lang w:val="en-US"/>
        </w:rPr>
      </w:pPr>
      <w:r>
        <w:rPr>
          <w:rFonts w:ascii="Arial" w:eastAsia="Times New Roman" w:hAnsi="Arial" w:cs="Arial"/>
          <w:sz w:val="18"/>
          <w:szCs w:val="18"/>
          <w:lang w:val="en-US"/>
        </w:rPr>
        <w:t>Table 2:</w:t>
      </w:r>
      <w:r>
        <w:rPr>
          <w:rFonts w:ascii="Arial" w:hAnsi="Arial" w:cs="Arial"/>
          <w:sz w:val="18"/>
          <w:szCs w:val="18"/>
          <w:lang w:val="en-US"/>
        </w:rPr>
        <w:t xml:space="preserve"> </w:t>
      </w:r>
      <w:r>
        <w:rPr>
          <w:rFonts w:ascii="Arial" w:eastAsia="Times New Roman" w:hAnsi="Arial" w:cs="Arial"/>
          <w:sz w:val="18"/>
          <w:szCs w:val="18"/>
          <w:lang w:val="en-US"/>
        </w:rPr>
        <w:t xml:space="preserve">Quantitative values of the relative reactivity of </w:t>
      </w:r>
      <w:proofErr w:type="spellStart"/>
      <w:r>
        <w:rPr>
          <w:rFonts w:ascii="Arial" w:eastAsia="Times New Roman" w:hAnsi="Arial" w:cs="Arial"/>
          <w:sz w:val="18"/>
          <w:szCs w:val="18"/>
          <w:lang w:val="en-US"/>
        </w:rPr>
        <w:t>comonomers</w:t>
      </w:r>
      <w:proofErr w:type="spellEnd"/>
      <w:r>
        <w:rPr>
          <w:rFonts w:ascii="Arial" w:eastAsia="Times New Roman" w:hAnsi="Arial" w:cs="Arial"/>
          <w:sz w:val="18"/>
          <w:szCs w:val="18"/>
          <w:lang w:val="en-US"/>
        </w:rPr>
        <w:t xml:space="preserve"> in AN-MCPA system</w:t>
      </w:r>
    </w:p>
    <w:tbl>
      <w:tblPr>
        <w:tblpPr w:leftFromText="180" w:rightFromText="180" w:vertAnchor="text" w:horzAnchor="margin" w:tblpX="5" w:tblpY="153"/>
        <w:tblW w:w="8382" w:type="dxa"/>
        <w:tblLayout w:type="fixed"/>
        <w:tblCellMar>
          <w:left w:w="5" w:type="dxa"/>
          <w:right w:w="5" w:type="dxa"/>
        </w:tblCellMar>
        <w:tblLook w:val="01E0" w:firstRow="1" w:lastRow="1" w:firstColumn="1" w:lastColumn="1" w:noHBand="0" w:noVBand="0"/>
      </w:tblPr>
      <w:tblGrid>
        <w:gridCol w:w="1648"/>
        <w:gridCol w:w="1399"/>
        <w:gridCol w:w="1399"/>
        <w:gridCol w:w="1271"/>
        <w:gridCol w:w="1270"/>
        <w:gridCol w:w="1395"/>
      </w:tblGrid>
      <w:tr w:rsidR="00583D1D">
        <w:trPr>
          <w:trHeight w:val="262"/>
        </w:trPr>
        <w:tc>
          <w:tcPr>
            <w:tcW w:w="1648"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196" w:right="189"/>
              <w:jc w:val="center"/>
              <w:rPr>
                <w:rFonts w:ascii="Arial" w:eastAsia="Times New Roman" w:hAnsi="Arial" w:cs="Arial"/>
                <w:sz w:val="18"/>
                <w:szCs w:val="18"/>
                <w:lang w:val="en-US"/>
              </w:rPr>
            </w:pPr>
            <w:r>
              <w:rPr>
                <w:rFonts w:ascii="Arial" w:eastAsia="Times New Roman" w:hAnsi="Arial" w:cs="Arial"/>
                <w:sz w:val="18"/>
                <w:szCs w:val="18"/>
                <w:lang w:val="en-US"/>
              </w:rPr>
              <w:t>Systems</w:t>
            </w:r>
          </w:p>
        </w:tc>
        <w:tc>
          <w:tcPr>
            <w:tcW w:w="139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2" w:right="502"/>
              <w:jc w:val="center"/>
              <w:rPr>
                <w:rFonts w:ascii="Arial" w:eastAsia="Times New Roman" w:hAnsi="Arial" w:cs="Arial"/>
                <w:sz w:val="18"/>
                <w:szCs w:val="18"/>
                <w:lang w:val="en-US"/>
              </w:rPr>
            </w:pPr>
            <w:r>
              <w:rPr>
                <w:rFonts w:ascii="Arial" w:eastAsia="Times New Roman" w:hAnsi="Arial" w:cs="Arial"/>
                <w:sz w:val="18"/>
                <w:szCs w:val="18"/>
                <w:lang w:val="en-US"/>
              </w:rPr>
              <w:t>r</w:t>
            </w:r>
            <w:r>
              <w:rPr>
                <w:rFonts w:ascii="Arial" w:eastAsia="Times New Roman" w:hAnsi="Arial" w:cs="Arial"/>
                <w:sz w:val="18"/>
                <w:szCs w:val="18"/>
                <w:vertAlign w:val="subscript"/>
                <w:lang w:val="en-US"/>
              </w:rPr>
              <w:t>1</w:t>
            </w:r>
          </w:p>
        </w:tc>
        <w:tc>
          <w:tcPr>
            <w:tcW w:w="139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2" w:right="502"/>
              <w:jc w:val="center"/>
              <w:rPr>
                <w:rFonts w:ascii="Arial" w:eastAsia="Times New Roman" w:hAnsi="Arial" w:cs="Arial"/>
                <w:sz w:val="18"/>
                <w:szCs w:val="18"/>
                <w:lang w:val="en-US"/>
              </w:rPr>
            </w:pPr>
            <w:r>
              <w:rPr>
                <w:rFonts w:ascii="Arial" w:eastAsia="Times New Roman" w:hAnsi="Arial" w:cs="Arial"/>
                <w:sz w:val="18"/>
                <w:szCs w:val="18"/>
                <w:lang w:val="en-US"/>
              </w:rPr>
              <w:t>r</w:t>
            </w:r>
            <w:r>
              <w:rPr>
                <w:rFonts w:ascii="Arial" w:eastAsia="Times New Roman" w:hAnsi="Arial" w:cs="Arial"/>
                <w:sz w:val="18"/>
                <w:szCs w:val="18"/>
                <w:vertAlign w:val="subscript"/>
                <w:lang w:val="en-US"/>
              </w:rPr>
              <w:t>2</w:t>
            </w:r>
          </w:p>
        </w:tc>
        <w:tc>
          <w:tcPr>
            <w:tcW w:w="127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445" w:right="430"/>
              <w:jc w:val="center"/>
              <w:rPr>
                <w:rFonts w:ascii="Arial" w:eastAsia="Times New Roman" w:hAnsi="Arial" w:cs="Arial"/>
                <w:sz w:val="18"/>
                <w:szCs w:val="18"/>
                <w:lang w:val="en-US"/>
              </w:rPr>
            </w:pPr>
            <w:r>
              <w:rPr>
                <w:rFonts w:ascii="Arial" w:eastAsia="Times New Roman" w:hAnsi="Arial" w:cs="Arial"/>
                <w:sz w:val="18"/>
                <w:szCs w:val="18"/>
                <w:lang w:val="en-US"/>
              </w:rPr>
              <w:t>1/r</w:t>
            </w:r>
            <w:r>
              <w:rPr>
                <w:rFonts w:ascii="Arial" w:eastAsia="Times New Roman" w:hAnsi="Arial" w:cs="Arial"/>
                <w:sz w:val="18"/>
                <w:szCs w:val="18"/>
                <w:vertAlign w:val="subscript"/>
                <w:lang w:val="en-US"/>
              </w:rPr>
              <w:t>1</w:t>
            </w:r>
          </w:p>
        </w:tc>
        <w:tc>
          <w:tcPr>
            <w:tcW w:w="1270"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470"/>
              <w:rPr>
                <w:rFonts w:ascii="Arial" w:eastAsia="Times New Roman" w:hAnsi="Arial" w:cs="Arial"/>
                <w:sz w:val="18"/>
                <w:szCs w:val="18"/>
                <w:lang w:val="en-US"/>
              </w:rPr>
            </w:pPr>
            <w:r>
              <w:rPr>
                <w:rFonts w:ascii="Arial" w:eastAsia="Times New Roman" w:hAnsi="Arial" w:cs="Arial"/>
                <w:sz w:val="18"/>
                <w:szCs w:val="18"/>
                <w:lang w:val="en-US"/>
              </w:rPr>
              <w:t>1/r</w:t>
            </w:r>
            <w:r>
              <w:rPr>
                <w:rFonts w:ascii="Arial" w:eastAsia="Times New Roman" w:hAnsi="Arial" w:cs="Arial"/>
                <w:sz w:val="18"/>
                <w:szCs w:val="18"/>
                <w:vertAlign w:val="subscript"/>
                <w:lang w:val="en-US"/>
              </w:rPr>
              <w:t>2</w:t>
            </w:r>
          </w:p>
        </w:tc>
        <w:tc>
          <w:tcPr>
            <w:tcW w:w="139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05" w:right="490"/>
              <w:jc w:val="center"/>
              <w:rPr>
                <w:rFonts w:ascii="Arial" w:eastAsia="Times New Roman" w:hAnsi="Arial" w:cs="Arial"/>
                <w:sz w:val="18"/>
                <w:szCs w:val="18"/>
                <w:lang w:val="en-US"/>
              </w:rPr>
            </w:pPr>
            <w:r>
              <w:rPr>
                <w:rFonts w:ascii="Arial" w:eastAsia="Times New Roman" w:hAnsi="Arial" w:cs="Arial"/>
                <w:sz w:val="18"/>
                <w:szCs w:val="18"/>
                <w:lang w:val="en-US"/>
              </w:rPr>
              <w:t>r</w:t>
            </w:r>
            <w:r>
              <w:rPr>
                <w:rFonts w:ascii="Arial" w:eastAsia="Times New Roman" w:hAnsi="Arial" w:cs="Arial"/>
                <w:sz w:val="18"/>
                <w:szCs w:val="18"/>
                <w:vertAlign w:val="subscript"/>
                <w:lang w:val="en-US"/>
              </w:rPr>
              <w:t>1</w:t>
            </w:r>
            <w:r>
              <w:rPr>
                <w:rFonts w:ascii="Arial" w:eastAsia="Times New Roman" w:hAnsi="Arial" w:cs="Arial"/>
                <w:sz w:val="18"/>
                <w:szCs w:val="18"/>
                <w:lang w:val="en-US"/>
              </w:rPr>
              <w:t xml:space="preserve"> ∙r</w:t>
            </w:r>
            <w:r>
              <w:rPr>
                <w:rFonts w:ascii="Arial" w:eastAsia="Times New Roman" w:hAnsi="Arial" w:cs="Arial"/>
                <w:sz w:val="18"/>
                <w:szCs w:val="18"/>
                <w:vertAlign w:val="subscript"/>
                <w:lang w:val="en-US"/>
              </w:rPr>
              <w:t>2</w:t>
            </w:r>
          </w:p>
        </w:tc>
      </w:tr>
      <w:tr w:rsidR="00583D1D">
        <w:trPr>
          <w:trHeight w:val="262"/>
        </w:trPr>
        <w:tc>
          <w:tcPr>
            <w:tcW w:w="1648"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197" w:right="189"/>
              <w:jc w:val="center"/>
              <w:rPr>
                <w:rFonts w:ascii="Arial" w:eastAsia="Times New Roman" w:hAnsi="Arial" w:cs="Arial"/>
                <w:sz w:val="18"/>
                <w:szCs w:val="18"/>
                <w:lang w:val="en-US"/>
              </w:rPr>
            </w:pPr>
            <w:r>
              <w:rPr>
                <w:rFonts w:ascii="Arial" w:eastAsia="Times New Roman" w:hAnsi="Arial" w:cs="Arial"/>
                <w:sz w:val="18"/>
                <w:szCs w:val="18"/>
                <w:lang w:val="en-US"/>
              </w:rPr>
              <w:t>AN-MCPA</w:t>
            </w:r>
          </w:p>
        </w:tc>
        <w:tc>
          <w:tcPr>
            <w:tcW w:w="139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7" w:right="502"/>
              <w:jc w:val="center"/>
              <w:rPr>
                <w:rFonts w:ascii="Arial" w:eastAsia="Times New Roman" w:hAnsi="Arial" w:cs="Arial"/>
                <w:sz w:val="18"/>
                <w:szCs w:val="18"/>
                <w:lang w:val="en-US"/>
              </w:rPr>
            </w:pPr>
            <w:r>
              <w:rPr>
                <w:rFonts w:ascii="Arial" w:eastAsia="Times New Roman" w:hAnsi="Arial" w:cs="Arial"/>
                <w:sz w:val="18"/>
                <w:szCs w:val="18"/>
                <w:lang w:val="en-US"/>
              </w:rPr>
              <w:t>0,25</w:t>
            </w:r>
          </w:p>
        </w:tc>
        <w:tc>
          <w:tcPr>
            <w:tcW w:w="1399"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17" w:right="502"/>
              <w:jc w:val="center"/>
              <w:rPr>
                <w:rFonts w:ascii="Arial" w:eastAsia="Times New Roman" w:hAnsi="Arial" w:cs="Arial"/>
                <w:sz w:val="18"/>
                <w:szCs w:val="18"/>
                <w:lang w:val="en-US"/>
              </w:rPr>
            </w:pPr>
            <w:r>
              <w:rPr>
                <w:rFonts w:ascii="Arial" w:eastAsia="Times New Roman" w:hAnsi="Arial" w:cs="Arial"/>
                <w:sz w:val="18"/>
                <w:szCs w:val="18"/>
                <w:lang w:val="en-US"/>
              </w:rPr>
              <w:t>0,80</w:t>
            </w:r>
          </w:p>
        </w:tc>
        <w:tc>
          <w:tcPr>
            <w:tcW w:w="1271"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445" w:right="430"/>
              <w:jc w:val="center"/>
              <w:rPr>
                <w:rFonts w:ascii="Arial" w:eastAsia="Times New Roman" w:hAnsi="Arial" w:cs="Arial"/>
                <w:sz w:val="18"/>
                <w:szCs w:val="18"/>
                <w:lang w:val="en-US"/>
              </w:rPr>
            </w:pPr>
            <w:r>
              <w:rPr>
                <w:rFonts w:ascii="Arial" w:eastAsia="Times New Roman" w:hAnsi="Arial" w:cs="Arial"/>
                <w:sz w:val="18"/>
                <w:szCs w:val="18"/>
                <w:lang w:val="en-US"/>
              </w:rPr>
              <w:t>4,0</w:t>
            </w:r>
          </w:p>
        </w:tc>
        <w:tc>
          <w:tcPr>
            <w:tcW w:w="1270"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460"/>
              <w:rPr>
                <w:rFonts w:ascii="Arial" w:eastAsia="Times New Roman" w:hAnsi="Arial" w:cs="Arial"/>
                <w:sz w:val="18"/>
                <w:szCs w:val="18"/>
                <w:lang w:val="en-US"/>
              </w:rPr>
            </w:pPr>
            <w:r>
              <w:rPr>
                <w:rFonts w:ascii="Arial" w:eastAsia="Times New Roman" w:hAnsi="Arial" w:cs="Arial"/>
                <w:sz w:val="18"/>
                <w:szCs w:val="18"/>
                <w:lang w:val="en-US"/>
              </w:rPr>
              <w:t>1,25</w:t>
            </w:r>
          </w:p>
        </w:tc>
        <w:tc>
          <w:tcPr>
            <w:tcW w:w="1395" w:type="dxa"/>
            <w:tcBorders>
              <w:top w:val="single" w:sz="4" w:space="0" w:color="000000"/>
              <w:left w:val="single" w:sz="4" w:space="0" w:color="000000"/>
              <w:bottom w:val="single" w:sz="4" w:space="0" w:color="000000"/>
              <w:right w:val="single" w:sz="4" w:space="0" w:color="000000"/>
            </w:tcBorders>
          </w:tcPr>
          <w:p w:rsidR="00583D1D" w:rsidRDefault="002511A9">
            <w:pPr>
              <w:widowControl w:val="0"/>
              <w:spacing w:after="0" w:line="276" w:lineRule="auto"/>
              <w:ind w:left="505" w:right="485"/>
              <w:jc w:val="center"/>
              <w:rPr>
                <w:rFonts w:ascii="Arial" w:eastAsia="Times New Roman" w:hAnsi="Arial" w:cs="Arial"/>
                <w:sz w:val="18"/>
                <w:szCs w:val="18"/>
                <w:lang w:val="en-US"/>
              </w:rPr>
            </w:pPr>
            <w:r>
              <w:rPr>
                <w:rFonts w:ascii="Arial" w:eastAsia="Times New Roman" w:hAnsi="Arial" w:cs="Arial"/>
                <w:sz w:val="18"/>
                <w:szCs w:val="18"/>
                <w:lang w:val="en-US"/>
              </w:rPr>
              <w:t>0,20</w:t>
            </w:r>
          </w:p>
        </w:tc>
      </w:tr>
    </w:tbl>
    <w:p w:rsidR="00EA5116" w:rsidRPr="00EA5116" w:rsidRDefault="00EA5116" w:rsidP="00F112E0">
      <w:pPr>
        <w:widowControl w:val="0"/>
        <w:spacing w:after="0" w:line="276" w:lineRule="auto"/>
        <w:ind w:right="218" w:firstLine="708"/>
        <w:jc w:val="both"/>
        <w:rPr>
          <w:rFonts w:ascii="Arial" w:eastAsia="Times New Roman" w:hAnsi="Arial" w:cs="Arial"/>
          <w:sz w:val="18"/>
          <w:szCs w:val="18"/>
          <w:lang w:val="en-US"/>
        </w:rPr>
      </w:pPr>
      <w:r w:rsidRPr="00EA5116">
        <w:rPr>
          <w:rFonts w:ascii="Arial" w:eastAsia="Times New Roman" w:hAnsi="Arial" w:cs="Arial"/>
          <w:sz w:val="18"/>
          <w:szCs w:val="18"/>
          <w:lang w:val="en-US"/>
        </w:rPr>
        <w:t>The monomer reactivity ratios obtained for the AN–MCPA system were r</w:t>
      </w:r>
      <w:r w:rsidRPr="00EA5116">
        <w:rPr>
          <w:rFonts w:ascii="Cambria Math" w:eastAsia="Times New Roman" w:hAnsi="Cambria Math" w:cs="Cambria Math"/>
          <w:sz w:val="18"/>
          <w:szCs w:val="18"/>
          <w:lang w:val="en-US"/>
        </w:rPr>
        <w:t>₁</w:t>
      </w:r>
      <w:r w:rsidRPr="00EA5116">
        <w:rPr>
          <w:rFonts w:ascii="Arial" w:eastAsia="Times New Roman" w:hAnsi="Arial" w:cs="Arial"/>
          <w:sz w:val="18"/>
          <w:szCs w:val="18"/>
          <w:lang w:val="en-US"/>
        </w:rPr>
        <w:t xml:space="preserve"> = 0.25 and r</w:t>
      </w:r>
      <w:r w:rsidRPr="00EA5116">
        <w:rPr>
          <w:rFonts w:ascii="Cambria Math" w:eastAsia="Times New Roman" w:hAnsi="Cambria Math" w:cs="Cambria Math"/>
          <w:sz w:val="18"/>
          <w:szCs w:val="18"/>
          <w:lang w:val="en-US"/>
        </w:rPr>
        <w:t>₂</w:t>
      </w:r>
      <w:r w:rsidRPr="00EA5116">
        <w:rPr>
          <w:rFonts w:ascii="Arial" w:eastAsia="Times New Roman" w:hAnsi="Arial" w:cs="Arial"/>
          <w:sz w:val="18"/>
          <w:szCs w:val="18"/>
          <w:lang w:val="en-US"/>
        </w:rPr>
        <w:t xml:space="preserve"> = 0.80. Since both values are lower than unity, the propagating radicals preferentially react with the opposite monomer rather than with the same monomer species. The product of the reactivity ratios (</w:t>
      </w:r>
      <w:proofErr w:type="spellStart"/>
      <w:r w:rsidRPr="00EA5116">
        <w:rPr>
          <w:rFonts w:ascii="Arial" w:eastAsia="Times New Roman" w:hAnsi="Arial" w:cs="Arial"/>
          <w:sz w:val="18"/>
          <w:szCs w:val="18"/>
          <w:lang w:val="en-US"/>
        </w:rPr>
        <w:t>r</w:t>
      </w:r>
      <w:r w:rsidRPr="00EA5116">
        <w:rPr>
          <w:rFonts w:ascii="Cambria Math" w:eastAsia="Times New Roman" w:hAnsi="Cambria Math" w:cs="Cambria Math"/>
          <w:sz w:val="18"/>
          <w:szCs w:val="18"/>
          <w:lang w:val="en-US"/>
        </w:rPr>
        <w:t>₁</w:t>
      </w:r>
      <w:r w:rsidRPr="00EA5116">
        <w:rPr>
          <w:rFonts w:ascii="Arial" w:eastAsia="Times New Roman" w:hAnsi="Arial" w:cs="Arial"/>
          <w:sz w:val="18"/>
          <w:szCs w:val="18"/>
          <w:lang w:val="en-US"/>
        </w:rPr>
        <w:t>r</w:t>
      </w:r>
      <w:proofErr w:type="spellEnd"/>
      <w:r w:rsidRPr="00EA5116">
        <w:rPr>
          <w:rFonts w:ascii="Cambria Math" w:eastAsia="Times New Roman" w:hAnsi="Cambria Math" w:cs="Cambria Math"/>
          <w:sz w:val="18"/>
          <w:szCs w:val="18"/>
          <w:lang w:val="en-US"/>
        </w:rPr>
        <w:t>₂</w:t>
      </w:r>
      <w:r w:rsidRPr="00EA5116">
        <w:rPr>
          <w:rFonts w:ascii="Arial" w:eastAsia="Times New Roman" w:hAnsi="Arial" w:cs="Arial"/>
          <w:sz w:val="18"/>
          <w:szCs w:val="18"/>
          <w:lang w:val="en-US"/>
        </w:rPr>
        <w:t xml:space="preserve"> = 0.20) is significantly lower than unity, indicating a pronounced tendency toward alternating incorporation of AN and MCPA units into the growing polymer chain. This behavior can be attributed to the different electronic characteristics of the nitrile group in AN and the </w:t>
      </w:r>
      <w:proofErr w:type="spellStart"/>
      <w:r w:rsidRPr="00EA5116">
        <w:rPr>
          <w:rFonts w:ascii="Arial" w:eastAsia="Times New Roman" w:hAnsi="Arial" w:cs="Arial"/>
          <w:sz w:val="18"/>
          <w:szCs w:val="18"/>
          <w:lang w:val="en-US"/>
        </w:rPr>
        <w:t>morpholine</w:t>
      </w:r>
      <w:proofErr w:type="spellEnd"/>
      <w:r w:rsidRPr="00EA5116">
        <w:rPr>
          <w:rFonts w:ascii="Arial" w:eastAsia="Times New Roman" w:hAnsi="Arial" w:cs="Arial"/>
          <w:sz w:val="18"/>
          <w:szCs w:val="18"/>
          <w:lang w:val="en-US"/>
        </w:rPr>
        <w:t xml:space="preserve">-containing acrylate fragment in MCPA, which promote cross-propagation during free-radical copolymerization. The linear regression analysis yielded </w:t>
      </w:r>
      <w:r w:rsidRPr="00EA5116">
        <w:rPr>
          <w:rFonts w:ascii="Arial" w:eastAsia="Times New Roman" w:hAnsi="Arial" w:cs="Arial"/>
          <w:bCs/>
          <w:sz w:val="18"/>
          <w:szCs w:val="18"/>
          <w:lang w:val="en-US"/>
        </w:rPr>
        <w:t>R² = 0.996</w:t>
      </w:r>
      <w:r w:rsidRPr="00EA5116">
        <w:rPr>
          <w:rFonts w:ascii="Arial" w:eastAsia="Times New Roman" w:hAnsi="Arial" w:cs="Arial"/>
          <w:sz w:val="18"/>
          <w:szCs w:val="18"/>
          <w:lang w:val="en-US"/>
        </w:rPr>
        <w:t xml:space="preserve">, indicating excellent agreement between the experimental data and the </w:t>
      </w:r>
      <w:proofErr w:type="spellStart"/>
      <w:r w:rsidRPr="00EA5116">
        <w:rPr>
          <w:rFonts w:ascii="Arial" w:eastAsia="Times New Roman" w:hAnsi="Arial" w:cs="Arial"/>
          <w:sz w:val="18"/>
          <w:szCs w:val="18"/>
          <w:lang w:val="en-US"/>
        </w:rPr>
        <w:t>Fineman</w:t>
      </w:r>
      <w:proofErr w:type="spellEnd"/>
      <w:r w:rsidRPr="00EA5116">
        <w:rPr>
          <w:rFonts w:ascii="Arial" w:eastAsia="Times New Roman" w:hAnsi="Arial" w:cs="Arial"/>
          <w:sz w:val="18"/>
          <w:szCs w:val="18"/>
          <w:lang w:val="en-US"/>
        </w:rPr>
        <w:t>–Ross model and confirming the reliability of the calculated reactivity ratios. Consequently, the synthesized copolymers are expected to possess a more uniform distribution of functional units along the polymer backbone.</w:t>
      </w:r>
    </w:p>
    <w:p w:rsidR="00F112E0" w:rsidRDefault="00F112E0" w:rsidP="00F112E0">
      <w:pPr>
        <w:widowControl w:val="0"/>
        <w:spacing w:after="0" w:line="276" w:lineRule="auto"/>
        <w:ind w:right="218" w:firstLine="708"/>
        <w:jc w:val="both"/>
        <w:rPr>
          <w:rFonts w:ascii="Arial" w:eastAsia="Times New Roman" w:hAnsi="Arial" w:cs="Arial"/>
          <w:sz w:val="18"/>
          <w:szCs w:val="18"/>
          <w:lang w:val="en-US"/>
        </w:rPr>
      </w:pPr>
      <w:r>
        <w:rPr>
          <w:rFonts w:ascii="Arial" w:hAnsi="Arial" w:cs="Arial"/>
          <w:noProof/>
          <w:sz w:val="18"/>
          <w:szCs w:val="18"/>
          <w:lang w:eastAsia="ru-RU"/>
        </w:rPr>
        <w:drawing>
          <wp:anchor distT="0" distB="0" distL="0" distR="0" simplePos="0" relativeHeight="251659264" behindDoc="0" locked="0" layoutInCell="0" allowOverlap="1" wp14:anchorId="1957635F" wp14:editId="488BF41A">
            <wp:simplePos x="0" y="0"/>
            <wp:positionH relativeFrom="margin">
              <wp:posOffset>443865</wp:posOffset>
            </wp:positionH>
            <wp:positionV relativeFrom="paragraph">
              <wp:posOffset>732790</wp:posOffset>
            </wp:positionV>
            <wp:extent cx="4629150" cy="19621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stretch>
                      <a:fillRect/>
                    </a:stretch>
                  </pic:blipFill>
                  <pic:spPr bwMode="auto">
                    <a:xfrm>
                      <a:off x="0" y="0"/>
                      <a:ext cx="4629150" cy="1962150"/>
                    </a:xfrm>
                    <a:prstGeom prst="rect">
                      <a:avLst/>
                    </a:prstGeom>
                    <a:noFill/>
                  </pic:spPr>
                </pic:pic>
              </a:graphicData>
            </a:graphic>
            <wp14:sizeRelH relativeFrom="margin">
              <wp14:pctWidth>0</wp14:pctWidth>
            </wp14:sizeRelH>
            <wp14:sizeRelV relativeFrom="margin">
              <wp14:pctHeight>0</wp14:pctHeight>
            </wp14:sizeRelV>
          </wp:anchor>
        </w:drawing>
      </w:r>
      <w:r w:rsidR="002511A9" w:rsidRPr="002511A9">
        <w:rPr>
          <w:rFonts w:ascii="Arial" w:eastAsia="Times New Roman" w:hAnsi="Arial" w:cs="Arial"/>
          <w:sz w:val="18"/>
          <w:szCs w:val="18"/>
          <w:lang w:val="en-US"/>
        </w:rPr>
        <w:t xml:space="preserve">The chemical composition and structural characteristics of the synthesized copolymers were verified using elemental analysis in combination with FTIR and ¹H NMR spectroscopy. The FTIR spectra of the AN–MCPA copolymer synthesized at an initial monomer ratio of 0.65:0.35 and low monomer </w:t>
      </w:r>
      <w:r w:rsidRPr="002511A9">
        <w:rPr>
          <w:rFonts w:ascii="Arial" w:eastAsia="Times New Roman" w:hAnsi="Arial" w:cs="Arial"/>
          <w:sz w:val="18"/>
          <w:szCs w:val="18"/>
          <w:lang w:val="en-US"/>
        </w:rPr>
        <w:t>conversion are presented in Figure 3.</w:t>
      </w:r>
    </w:p>
    <w:p w:rsidR="00F112E0" w:rsidRDefault="00F112E0" w:rsidP="00F112E0">
      <w:pPr>
        <w:widowControl w:val="0"/>
        <w:spacing w:after="0" w:line="276" w:lineRule="auto"/>
        <w:ind w:right="218" w:firstLine="708"/>
        <w:jc w:val="both"/>
        <w:rPr>
          <w:rFonts w:ascii="Arial" w:eastAsia="Times New Roman" w:hAnsi="Arial" w:cs="Arial"/>
          <w:sz w:val="18"/>
          <w:szCs w:val="18"/>
          <w:lang w:val="en-US"/>
        </w:rPr>
      </w:pPr>
    </w:p>
    <w:p w:rsidR="00583D1D" w:rsidRDefault="002511A9">
      <w:pPr>
        <w:pStyle w:val="a5"/>
        <w:spacing w:line="360" w:lineRule="auto"/>
        <w:ind w:right="106"/>
        <w:rPr>
          <w:rFonts w:ascii="Arial" w:hAnsi="Arial" w:cs="Arial"/>
          <w:sz w:val="18"/>
          <w:szCs w:val="18"/>
        </w:rPr>
      </w:pPr>
      <w:r>
        <w:rPr>
          <w:rFonts w:ascii="Arial" w:hAnsi="Arial" w:cs="Arial"/>
          <w:sz w:val="18"/>
          <w:szCs w:val="18"/>
        </w:rPr>
        <w:t>Figure 3: IR spectrum of copolymer based on AN with MCPA at a ratio of 0.65:0.35</w:t>
      </w:r>
    </w:p>
    <w:p w:rsidR="00583D1D" w:rsidRDefault="007734BF" w:rsidP="002511A9">
      <w:pPr>
        <w:pStyle w:val="a5"/>
        <w:ind w:right="106" w:firstLine="710"/>
        <w:rPr>
          <w:rFonts w:ascii="Arial" w:hAnsi="Arial" w:cs="Arial"/>
          <w:sz w:val="18"/>
          <w:szCs w:val="18"/>
        </w:rPr>
      </w:pPr>
      <w:r>
        <w:rPr>
          <w:rFonts w:ascii="Arial" w:hAnsi="Arial" w:cs="Arial"/>
          <w:sz w:val="18"/>
          <w:szCs w:val="18"/>
        </w:rPr>
        <w:t>The IR spe</w:t>
      </w:r>
      <w:r w:rsidR="002511A9">
        <w:rPr>
          <w:rFonts w:ascii="Arial" w:hAnsi="Arial" w:cs="Arial"/>
          <w:sz w:val="18"/>
          <w:szCs w:val="18"/>
        </w:rPr>
        <w:t>ctroscopic analysis confirms the formation of a new copolymer based on AN and MCPA. In the spectr</w:t>
      </w:r>
      <w:r>
        <w:rPr>
          <w:rFonts w:ascii="Arial" w:hAnsi="Arial" w:cs="Arial"/>
          <w:sz w:val="18"/>
          <w:szCs w:val="18"/>
        </w:rPr>
        <w:t>a of the obtained samples absorp</w:t>
      </w:r>
      <w:r w:rsidR="002511A9">
        <w:rPr>
          <w:rFonts w:ascii="Arial" w:hAnsi="Arial" w:cs="Arial"/>
          <w:sz w:val="18"/>
          <w:szCs w:val="18"/>
        </w:rPr>
        <w:t>tion bands corresponding to MCPA structural units are clearly observed in the region 1712</w:t>
      </w:r>
      <w:r w:rsidR="002511A9">
        <w:rPr>
          <w:rFonts w:ascii="Arial" w:eastAsiaTheme="minorHAnsi" w:hAnsi="Arial" w:cs="Arial"/>
          <w:sz w:val="18"/>
          <w:szCs w:val="18"/>
        </w:rPr>
        <w:t xml:space="preserve"> </w:t>
      </w:r>
      <w:r w:rsidR="002511A9">
        <w:rPr>
          <w:rFonts w:ascii="Arial" w:hAnsi="Arial" w:cs="Arial"/>
          <w:sz w:val="18"/>
          <w:szCs w:val="18"/>
        </w:rPr>
        <w:t>cm</w:t>
      </w:r>
      <w:r w:rsidR="002511A9">
        <w:rPr>
          <w:rFonts w:ascii="Cambria Math" w:hAnsi="Cambria Math" w:cs="Cambria Math"/>
          <w:sz w:val="18"/>
          <w:szCs w:val="18"/>
        </w:rPr>
        <w:t>⁻</w:t>
      </w:r>
      <w:r w:rsidR="002511A9">
        <w:rPr>
          <w:rFonts w:ascii="Arial" w:hAnsi="Arial" w:cs="Arial"/>
          <w:sz w:val="18"/>
          <w:szCs w:val="18"/>
        </w:rPr>
        <w:t>¹ and 1236   cm</w:t>
      </w:r>
      <w:r w:rsidR="002511A9">
        <w:rPr>
          <w:rFonts w:ascii="Cambria Math" w:hAnsi="Cambria Math" w:cs="Cambria Math"/>
          <w:sz w:val="18"/>
          <w:szCs w:val="18"/>
        </w:rPr>
        <w:t>⁻</w:t>
      </w:r>
      <w:r w:rsidR="002511A9">
        <w:rPr>
          <w:rFonts w:ascii="Arial" w:hAnsi="Arial" w:cs="Arial"/>
          <w:sz w:val="18"/>
          <w:szCs w:val="18"/>
        </w:rPr>
        <w:t>¹, which are attributed to ester groups. The characteristic carbonyl (C=O) stretching vibrations appear at 1639</w:t>
      </w:r>
      <w:r w:rsidR="002511A9">
        <w:rPr>
          <w:rFonts w:ascii="Arial" w:eastAsiaTheme="minorHAnsi" w:hAnsi="Arial" w:cs="Arial"/>
          <w:sz w:val="18"/>
          <w:szCs w:val="18"/>
        </w:rPr>
        <w:t xml:space="preserve"> </w:t>
      </w:r>
      <w:r w:rsidR="002511A9">
        <w:rPr>
          <w:rFonts w:ascii="Arial" w:hAnsi="Arial" w:cs="Arial"/>
          <w:sz w:val="18"/>
          <w:szCs w:val="18"/>
        </w:rPr>
        <w:t>cm</w:t>
      </w:r>
      <w:r w:rsidR="002511A9">
        <w:rPr>
          <w:rFonts w:ascii="Cambria Math" w:hAnsi="Cambria Math" w:cs="Cambria Math"/>
          <w:sz w:val="18"/>
          <w:szCs w:val="18"/>
        </w:rPr>
        <w:t>⁻</w:t>
      </w:r>
      <w:r w:rsidR="002511A9">
        <w:rPr>
          <w:rFonts w:ascii="Arial" w:hAnsi="Arial" w:cs="Arial"/>
          <w:sz w:val="18"/>
          <w:szCs w:val="18"/>
        </w:rPr>
        <w:t>¹, while the nitrile (C≡N) functional group gives absorption bands in the range 2242 cm</w:t>
      </w:r>
      <w:r w:rsidR="002511A9">
        <w:rPr>
          <w:rFonts w:ascii="Cambria Math" w:hAnsi="Cambria Math" w:cs="Cambria Math"/>
          <w:sz w:val="18"/>
          <w:szCs w:val="18"/>
        </w:rPr>
        <w:t>⁻</w:t>
      </w:r>
      <w:r w:rsidR="002511A9">
        <w:rPr>
          <w:rFonts w:ascii="Arial" w:hAnsi="Arial" w:cs="Arial"/>
          <w:sz w:val="18"/>
          <w:szCs w:val="18"/>
        </w:rPr>
        <w:t>¹. In addition, symmetric CH</w:t>
      </w:r>
      <w:r w:rsidR="002511A9">
        <w:rPr>
          <w:rFonts w:ascii="Arial" w:hAnsi="Arial" w:cs="Arial"/>
          <w:sz w:val="18"/>
          <w:szCs w:val="18"/>
          <w:vertAlign w:val="subscript"/>
        </w:rPr>
        <w:t>2</w:t>
      </w:r>
      <w:r w:rsidR="002511A9">
        <w:rPr>
          <w:rFonts w:ascii="Arial" w:hAnsi="Arial" w:cs="Arial"/>
          <w:sz w:val="18"/>
          <w:szCs w:val="18"/>
        </w:rPr>
        <w:t xml:space="preserve"> stretching vibrations are detected at 1435</w:t>
      </w:r>
      <w:r w:rsidR="002511A9">
        <w:rPr>
          <w:rFonts w:ascii="Arial" w:eastAsiaTheme="minorHAnsi" w:hAnsi="Arial" w:cs="Arial"/>
          <w:sz w:val="18"/>
          <w:szCs w:val="18"/>
        </w:rPr>
        <w:t xml:space="preserve"> </w:t>
      </w:r>
      <w:r w:rsidR="002511A9">
        <w:rPr>
          <w:rFonts w:ascii="Arial" w:hAnsi="Arial" w:cs="Arial"/>
          <w:sz w:val="18"/>
          <w:szCs w:val="18"/>
        </w:rPr>
        <w:t>cm</w:t>
      </w:r>
      <w:r w:rsidR="002511A9">
        <w:rPr>
          <w:rFonts w:ascii="Cambria Math" w:hAnsi="Cambria Math" w:cs="Cambria Math"/>
          <w:sz w:val="18"/>
          <w:szCs w:val="18"/>
        </w:rPr>
        <w:t>⁻</w:t>
      </w:r>
      <w:r w:rsidR="002511A9">
        <w:rPr>
          <w:rFonts w:ascii="Arial" w:hAnsi="Arial" w:cs="Arial"/>
          <w:sz w:val="18"/>
          <w:szCs w:val="18"/>
        </w:rPr>
        <w:t xml:space="preserve">¹. Notably, the absence of </w:t>
      </w:r>
      <w:proofErr w:type="spellStart"/>
      <w:r w:rsidR="002511A9">
        <w:rPr>
          <w:rFonts w:ascii="Arial" w:hAnsi="Arial" w:cs="Arial"/>
          <w:sz w:val="18"/>
          <w:szCs w:val="18"/>
        </w:rPr>
        <w:t>absorbtion</w:t>
      </w:r>
      <w:proofErr w:type="spellEnd"/>
      <w:r w:rsidR="002511A9">
        <w:rPr>
          <w:rFonts w:ascii="Arial" w:hAnsi="Arial" w:cs="Arial"/>
          <w:sz w:val="18"/>
          <w:szCs w:val="18"/>
        </w:rPr>
        <w:t xml:space="preserve"> bands associated with C=C double bonds in the IR spectra indicates that the copolymerization occurs through the vinyl functionalities of the initial monomers, confirming the successful formation of the polymer backbone.</w:t>
      </w:r>
    </w:p>
    <w:p w:rsidR="007734BF" w:rsidRPr="007734BF" w:rsidRDefault="007734BF" w:rsidP="002511A9">
      <w:pPr>
        <w:pStyle w:val="a5"/>
        <w:ind w:right="106" w:firstLine="710"/>
        <w:rPr>
          <w:rFonts w:ascii="Arial" w:hAnsi="Arial" w:cs="Arial"/>
          <w:sz w:val="18"/>
          <w:szCs w:val="18"/>
        </w:rPr>
      </w:pPr>
      <w:r w:rsidRPr="007734BF">
        <w:rPr>
          <w:rFonts w:ascii="Arial" w:hAnsi="Arial" w:cs="Arial"/>
          <w:sz w:val="18"/>
          <w:szCs w:val="18"/>
        </w:rPr>
        <w:t>The structure of the synthesized copolymers was further confirmed by ¹H NMR spectroscopy (Figure 4).</w:t>
      </w:r>
    </w:p>
    <w:p w:rsidR="00583D1D" w:rsidRDefault="002511A9">
      <w:pPr>
        <w:pStyle w:val="a5"/>
        <w:spacing w:line="360" w:lineRule="auto"/>
        <w:ind w:right="106" w:firstLine="710"/>
        <w:rPr>
          <w:rFonts w:ascii="Arial" w:hAnsi="Arial" w:cs="Arial"/>
          <w:color w:val="7030A0"/>
          <w:sz w:val="18"/>
          <w:szCs w:val="18"/>
        </w:rPr>
      </w:pPr>
      <w:r>
        <w:rPr>
          <w:noProof/>
          <w:lang w:val="ru-RU" w:eastAsia="ru-RU"/>
        </w:rPr>
        <w:lastRenderedPageBreak/>
        <w:drawing>
          <wp:inline distT="0" distB="0" distL="0" distR="0">
            <wp:extent cx="4705350" cy="1800225"/>
            <wp:effectExtent l="0" t="0" r="0" b="0"/>
            <wp:docPr id="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8"/>
                    <pic:cNvPicPr>
                      <a:picLocks noChangeAspect="1" noChangeArrowheads="1"/>
                    </pic:cNvPicPr>
                  </pic:nvPicPr>
                  <pic:blipFill>
                    <a:blip r:embed="rId8"/>
                    <a:stretch>
                      <a:fillRect/>
                    </a:stretch>
                  </pic:blipFill>
                  <pic:spPr bwMode="auto">
                    <a:xfrm>
                      <a:off x="0" y="0"/>
                      <a:ext cx="4705350" cy="1800225"/>
                    </a:xfrm>
                    <a:prstGeom prst="rect">
                      <a:avLst/>
                    </a:prstGeom>
                    <a:noFill/>
                  </pic:spPr>
                </pic:pic>
              </a:graphicData>
            </a:graphic>
          </wp:inline>
        </w:drawing>
      </w:r>
    </w:p>
    <w:p w:rsidR="00583D1D" w:rsidRDefault="00E95B54">
      <w:pPr>
        <w:pStyle w:val="a5"/>
        <w:spacing w:line="360" w:lineRule="auto"/>
        <w:ind w:right="106" w:firstLine="710"/>
        <w:rPr>
          <w:rFonts w:ascii="Arial" w:hAnsi="Arial" w:cs="Arial"/>
          <w:sz w:val="18"/>
          <w:szCs w:val="18"/>
        </w:rPr>
      </w:pPr>
      <w:r>
        <w:rPr>
          <w:rFonts w:ascii="Arial" w:hAnsi="Arial" w:cs="Arial"/>
          <w:sz w:val="18"/>
          <w:szCs w:val="18"/>
        </w:rPr>
        <w:t>Figure 4</w:t>
      </w:r>
      <w:r w:rsidR="002511A9">
        <w:rPr>
          <w:rFonts w:ascii="Arial" w:hAnsi="Arial" w:cs="Arial"/>
          <w:sz w:val="18"/>
          <w:szCs w:val="18"/>
        </w:rPr>
        <w:t xml:space="preserve">: </w:t>
      </w:r>
      <w:r w:rsidR="002511A9">
        <w:rPr>
          <w:rFonts w:ascii="Arial" w:hAnsi="Arial" w:cs="Arial"/>
          <w:sz w:val="18"/>
          <w:szCs w:val="18"/>
          <w:vertAlign w:val="superscript"/>
        </w:rPr>
        <w:t>1</w:t>
      </w:r>
      <w:r w:rsidR="002511A9">
        <w:rPr>
          <w:rFonts w:ascii="Arial" w:hAnsi="Arial" w:cs="Arial"/>
          <w:sz w:val="18"/>
          <w:szCs w:val="18"/>
        </w:rPr>
        <w:t>H NMR spectrum of the AN-MCPA copolymer at 1:1 monomer ratio.</w:t>
      </w:r>
    </w:p>
    <w:p w:rsidR="00583D1D" w:rsidRDefault="002511A9">
      <w:pPr>
        <w:widowControl w:val="0"/>
        <w:spacing w:after="0" w:line="276" w:lineRule="auto"/>
        <w:ind w:firstLine="708"/>
        <w:jc w:val="both"/>
        <w:rPr>
          <w:rFonts w:ascii="Arial" w:hAnsi="Arial" w:cs="Arial"/>
          <w:sz w:val="18"/>
          <w:szCs w:val="18"/>
          <w:lang w:val="en-US"/>
        </w:rPr>
      </w:pPr>
      <w:r>
        <w:rPr>
          <w:rFonts w:ascii="Arial" w:hAnsi="Arial" w:cs="Arial"/>
          <w:sz w:val="18"/>
          <w:szCs w:val="18"/>
          <w:lang w:val="en-US"/>
        </w:rPr>
        <w:t>In the ¹H NMR spectrum of t</w:t>
      </w:r>
      <w:r w:rsidR="00935C1C">
        <w:rPr>
          <w:rFonts w:ascii="Arial" w:hAnsi="Arial" w:cs="Arial"/>
          <w:sz w:val="18"/>
          <w:szCs w:val="18"/>
          <w:lang w:val="en-US"/>
        </w:rPr>
        <w:t>he AN–MCPA copolymer in figure 4</w:t>
      </w:r>
      <w:bookmarkStart w:id="0" w:name="_GoBack"/>
      <w:bookmarkEnd w:id="0"/>
      <w:r>
        <w:rPr>
          <w:rFonts w:ascii="Arial" w:hAnsi="Arial" w:cs="Arial"/>
          <w:sz w:val="18"/>
          <w:szCs w:val="18"/>
          <w:lang w:val="en-US"/>
        </w:rPr>
        <w:t>, two regions are observed at 1.8–1.9 and 1.9–2.2 ppm, which can be attributed to the resonance of protons from methyl and methylene groups. The signal at around 3.3 ppm is characteristic of methylene protons adjacent to oxygen (–OCH</w:t>
      </w:r>
      <w:r>
        <w:rPr>
          <w:rFonts w:ascii="Cambria Math" w:hAnsi="Cambria Math" w:cs="Cambria Math"/>
          <w:sz w:val="18"/>
          <w:szCs w:val="18"/>
          <w:lang w:val="en-US"/>
        </w:rPr>
        <w:t>₂</w:t>
      </w:r>
      <w:r>
        <w:rPr>
          <w:rFonts w:ascii="Arial" w:hAnsi="Arial" w:cs="Arial"/>
          <w:sz w:val="18"/>
          <w:szCs w:val="18"/>
          <w:lang w:val="en-US"/>
        </w:rPr>
        <w:t>–), while the methylene group of the copolymer backbone (–CH</w:t>
      </w:r>
      <w:r>
        <w:rPr>
          <w:rFonts w:ascii="Cambria Math" w:hAnsi="Cambria Math" w:cs="Cambria Math"/>
          <w:sz w:val="18"/>
          <w:szCs w:val="18"/>
          <w:lang w:val="en-US"/>
        </w:rPr>
        <w:t>₂</w:t>
      </w:r>
      <w:r>
        <w:rPr>
          <w:rFonts w:ascii="Arial" w:hAnsi="Arial" w:cs="Arial"/>
          <w:sz w:val="18"/>
          <w:szCs w:val="18"/>
          <w:lang w:val="en-US"/>
        </w:rPr>
        <w:t>–) appears at approximately 2.45 ppm.</w:t>
      </w:r>
    </w:p>
    <w:p w:rsidR="00583D1D" w:rsidRDefault="002511A9">
      <w:pPr>
        <w:widowControl w:val="0"/>
        <w:spacing w:after="0" w:line="276" w:lineRule="auto"/>
        <w:ind w:firstLine="708"/>
        <w:jc w:val="both"/>
        <w:rPr>
          <w:rFonts w:ascii="Arial" w:eastAsia="Times New Roman" w:hAnsi="Arial" w:cs="Arial"/>
          <w:sz w:val="18"/>
          <w:szCs w:val="18"/>
          <w:lang w:val="en-US"/>
        </w:rPr>
      </w:pPr>
      <w:r>
        <w:rPr>
          <w:rFonts w:ascii="Arial" w:eastAsia="Calibri" w:hAnsi="Arial" w:cs="Arial"/>
          <w:iCs/>
          <w:sz w:val="18"/>
          <w:szCs w:val="18"/>
          <w:lang w:val="en-US"/>
        </w:rPr>
        <w:t>Thus, based on the results of elemental analysis as well as IR and NMR spectroscopic data, the structure of the cop</w:t>
      </w:r>
      <w:r w:rsidR="00EA5116">
        <w:rPr>
          <w:rFonts w:ascii="Arial" w:eastAsia="Calibri" w:hAnsi="Arial" w:cs="Arial"/>
          <w:iCs/>
          <w:sz w:val="18"/>
          <w:szCs w:val="18"/>
          <w:lang w:val="en-US"/>
        </w:rPr>
        <w:t>olymers derived from AN and MCPA</w:t>
      </w:r>
      <w:r>
        <w:rPr>
          <w:rFonts w:ascii="Arial" w:eastAsia="Calibri" w:hAnsi="Arial" w:cs="Arial"/>
          <w:iCs/>
          <w:sz w:val="18"/>
          <w:szCs w:val="18"/>
          <w:lang w:val="en-US"/>
        </w:rPr>
        <w:t xml:space="preserve"> can be represented by the following reaction schemes:</w:t>
      </w:r>
      <w:r>
        <w:rPr>
          <w:rFonts w:ascii="Arial" w:eastAsia="Times New Roman" w:hAnsi="Arial" w:cs="Arial"/>
          <w:sz w:val="18"/>
          <w:szCs w:val="18"/>
          <w:lang w:val="en-US"/>
        </w:rPr>
        <w:t xml:space="preserve"> </w:t>
      </w:r>
    </w:p>
    <w:p w:rsidR="00583D1D" w:rsidRDefault="00935C1C">
      <w:pPr>
        <w:widowControl w:val="0"/>
        <w:spacing w:after="0" w:line="276" w:lineRule="auto"/>
        <w:ind w:firstLine="708"/>
        <w:jc w:val="center"/>
        <w:rPr>
          <w:rFonts w:ascii="Arial" w:eastAsia="Times New Roman" w:hAnsi="Arial" w:cs="Arial"/>
          <w:sz w:val="18"/>
          <w:szCs w:val="18"/>
        </w:rPr>
      </w:pPr>
      <w:r>
        <w:pict>
          <v:shape id="_x0000_tole_rId12" o:spid="_x0000_s1027" type="#_x0000_t75" style="position:absolute;left:0;text-align:left;margin-left:0;margin-top:0;width:50pt;height:50pt;z-index:251658240;visibility:hidden">
            <o:lock v:ext="edit" selection="t"/>
          </v:shape>
        </w:pict>
      </w:r>
      <w:r w:rsidR="002511A9">
        <w:object w:dxaOrig="7732" w:dyaOrig="1295">
          <v:shape id="ole_rId12" o:spid="_x0000_i1026" type="#_x0000_t75" style="width:386.25pt;height:64.5pt;visibility:visible;mso-wrap-distance-right:0" o:ole="">
            <v:imagedata r:id="rId9" o:title=""/>
          </v:shape>
          <o:OLEObject Type="Embed" ProgID="ChemWindow.Document" ShapeID="ole_rId12" DrawAspect="Content" ObjectID="_1846143735" r:id="rId10"/>
        </w:object>
      </w:r>
    </w:p>
    <w:p w:rsidR="00583D1D" w:rsidRDefault="00583D1D">
      <w:pPr>
        <w:widowControl w:val="0"/>
        <w:spacing w:after="0" w:line="276" w:lineRule="auto"/>
        <w:ind w:firstLine="708"/>
        <w:jc w:val="center"/>
        <w:rPr>
          <w:rFonts w:ascii="Arial" w:eastAsia="Calibri" w:hAnsi="Arial" w:cs="Arial"/>
          <w:iCs/>
          <w:sz w:val="18"/>
          <w:szCs w:val="18"/>
          <w:lang w:val="en-US"/>
        </w:rPr>
      </w:pPr>
    </w:p>
    <w:p w:rsidR="00583D1D" w:rsidRDefault="002511A9">
      <w:pPr>
        <w:spacing w:after="0" w:line="276" w:lineRule="auto"/>
        <w:ind w:firstLine="709"/>
        <w:jc w:val="both"/>
        <w:rPr>
          <w:rFonts w:ascii="Arial" w:eastAsia="Calibri" w:hAnsi="Arial" w:cs="Arial"/>
          <w:iCs/>
          <w:sz w:val="18"/>
          <w:szCs w:val="18"/>
          <w:lang w:val="en-US"/>
        </w:rPr>
      </w:pPr>
      <w:r>
        <w:rPr>
          <w:rFonts w:ascii="Arial" w:eastAsia="Calibri" w:hAnsi="Arial" w:cs="Arial"/>
          <w:iCs/>
          <w:sz w:val="18"/>
          <w:szCs w:val="18"/>
          <w:lang w:val="en-US"/>
        </w:rPr>
        <w:t xml:space="preserve">To evaluate the thermal stability and thermal degradation of the AN-MCPA copolymers, </w:t>
      </w:r>
      <w:proofErr w:type="spellStart"/>
      <w:r>
        <w:rPr>
          <w:rFonts w:ascii="Arial" w:eastAsia="Calibri" w:hAnsi="Arial" w:cs="Arial"/>
          <w:iCs/>
          <w:sz w:val="18"/>
          <w:szCs w:val="18"/>
          <w:lang w:val="en-US"/>
        </w:rPr>
        <w:t>thermogravimetric</w:t>
      </w:r>
      <w:proofErr w:type="spellEnd"/>
      <w:r>
        <w:rPr>
          <w:rFonts w:ascii="Arial" w:eastAsia="Calibri" w:hAnsi="Arial" w:cs="Arial"/>
          <w:iCs/>
          <w:sz w:val="18"/>
          <w:szCs w:val="18"/>
          <w:lang w:val="en-US"/>
        </w:rPr>
        <w:t xml:space="preserve"> analysis was carried out in </w:t>
      </w:r>
      <w:r w:rsidR="00E95B54">
        <w:rPr>
          <w:rFonts w:ascii="Arial" w:eastAsia="Calibri" w:hAnsi="Arial" w:cs="Arial"/>
          <w:iCs/>
          <w:sz w:val="18"/>
          <w:szCs w:val="18"/>
          <w:lang w:val="en-US"/>
        </w:rPr>
        <w:t>Figure 5</w:t>
      </w:r>
      <w:r>
        <w:rPr>
          <w:rFonts w:ascii="Arial" w:eastAsia="Calibri" w:hAnsi="Arial" w:cs="Arial"/>
          <w:iCs/>
          <w:sz w:val="18"/>
          <w:szCs w:val="18"/>
          <w:lang w:val="en-US"/>
        </w:rPr>
        <w:t>.</w:t>
      </w:r>
    </w:p>
    <w:p w:rsidR="00583D1D" w:rsidRDefault="002511A9">
      <w:pPr>
        <w:spacing w:after="0" w:line="276" w:lineRule="auto"/>
        <w:jc w:val="center"/>
        <w:rPr>
          <w:rFonts w:ascii="Arial" w:eastAsia="Calibri" w:hAnsi="Arial" w:cs="Arial"/>
          <w:iCs/>
          <w:sz w:val="18"/>
          <w:szCs w:val="18"/>
          <w:lang w:val="en-US"/>
        </w:rPr>
      </w:pPr>
      <w:r>
        <w:rPr>
          <w:noProof/>
          <w:lang w:eastAsia="ru-RU"/>
        </w:rPr>
        <w:drawing>
          <wp:inline distT="0" distB="0" distL="0" distR="0">
            <wp:extent cx="4581020" cy="2599055"/>
            <wp:effectExtent l="0" t="0" r="0" b="0"/>
            <wp:docPr id="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6"/>
                    <pic:cNvPicPr>
                      <a:picLocks noChangeAspect="1" noChangeArrowheads="1"/>
                    </pic:cNvPicPr>
                  </pic:nvPicPr>
                  <pic:blipFill>
                    <a:blip r:embed="rId11"/>
                    <a:stretch>
                      <a:fillRect/>
                    </a:stretch>
                  </pic:blipFill>
                  <pic:spPr bwMode="auto">
                    <a:xfrm>
                      <a:off x="0" y="0"/>
                      <a:ext cx="4581020" cy="2599055"/>
                    </a:xfrm>
                    <a:prstGeom prst="rect">
                      <a:avLst/>
                    </a:prstGeom>
                    <a:noFill/>
                  </pic:spPr>
                </pic:pic>
              </a:graphicData>
            </a:graphic>
          </wp:inline>
        </w:drawing>
      </w:r>
    </w:p>
    <w:p w:rsidR="00583D1D" w:rsidRDefault="00E95B54">
      <w:pPr>
        <w:spacing w:after="0" w:line="276" w:lineRule="auto"/>
        <w:jc w:val="both"/>
        <w:rPr>
          <w:rFonts w:ascii="Arial" w:eastAsia="Calibri" w:hAnsi="Arial" w:cs="Arial"/>
          <w:iCs/>
          <w:sz w:val="18"/>
          <w:szCs w:val="18"/>
          <w:lang w:val="en-US"/>
        </w:rPr>
      </w:pPr>
      <w:r>
        <w:rPr>
          <w:rFonts w:ascii="Arial" w:eastAsia="Calibri" w:hAnsi="Arial" w:cs="Arial"/>
          <w:iCs/>
          <w:sz w:val="18"/>
          <w:szCs w:val="18"/>
          <w:lang w:val="en-US"/>
        </w:rPr>
        <w:t>Figure 5</w:t>
      </w:r>
      <w:r w:rsidR="002511A9">
        <w:rPr>
          <w:rFonts w:ascii="Arial" w:eastAsia="Calibri" w:hAnsi="Arial" w:cs="Arial"/>
          <w:iCs/>
          <w:sz w:val="18"/>
          <w:szCs w:val="18"/>
          <w:lang w:val="en-US"/>
        </w:rPr>
        <w:t xml:space="preserve">: </w:t>
      </w:r>
      <w:proofErr w:type="spellStart"/>
      <w:r w:rsidR="002511A9">
        <w:rPr>
          <w:rFonts w:ascii="Arial" w:eastAsia="Calibri" w:hAnsi="Arial" w:cs="Arial"/>
          <w:iCs/>
          <w:sz w:val="18"/>
          <w:szCs w:val="18"/>
          <w:lang w:val="en-US"/>
        </w:rPr>
        <w:t>Thermogram</w:t>
      </w:r>
      <w:proofErr w:type="spellEnd"/>
      <w:r w:rsidR="002511A9">
        <w:rPr>
          <w:rFonts w:ascii="Arial" w:eastAsia="Calibri" w:hAnsi="Arial" w:cs="Arial"/>
          <w:iCs/>
          <w:sz w:val="18"/>
          <w:szCs w:val="18"/>
          <w:lang w:val="en-US"/>
        </w:rPr>
        <w:t xml:space="preserve"> of the AN-MCPA copolymer at a 0.65:0.35 monomer ratio.</w:t>
      </w:r>
    </w:p>
    <w:p w:rsidR="008E0391" w:rsidRPr="008E0391" w:rsidRDefault="008E0391" w:rsidP="008E0391">
      <w:pPr>
        <w:suppressAutoHyphens w:val="0"/>
        <w:spacing w:after="0" w:line="240" w:lineRule="auto"/>
        <w:ind w:firstLine="708"/>
        <w:jc w:val="both"/>
        <w:rPr>
          <w:rFonts w:ascii="Arial" w:eastAsia="Times New Roman" w:hAnsi="Arial" w:cs="Arial"/>
          <w:sz w:val="18"/>
          <w:szCs w:val="18"/>
          <w:lang w:val="en-US" w:eastAsia="ru-RU"/>
        </w:rPr>
      </w:pPr>
      <w:r w:rsidRPr="008E0391">
        <w:rPr>
          <w:rFonts w:ascii="Arial" w:eastAsia="Times New Roman" w:hAnsi="Arial" w:cs="Arial"/>
          <w:bCs/>
          <w:sz w:val="18"/>
          <w:szCs w:val="18"/>
          <w:lang w:val="en-US" w:eastAsia="ru-RU"/>
        </w:rPr>
        <w:t xml:space="preserve">The </w:t>
      </w:r>
      <w:proofErr w:type="spellStart"/>
      <w:r w:rsidRPr="008E0391">
        <w:rPr>
          <w:rFonts w:ascii="Arial" w:eastAsia="Times New Roman" w:hAnsi="Arial" w:cs="Arial"/>
          <w:bCs/>
          <w:sz w:val="18"/>
          <w:szCs w:val="18"/>
          <w:lang w:val="en-US" w:eastAsia="ru-RU"/>
        </w:rPr>
        <w:t>thermogravimetric</w:t>
      </w:r>
      <w:proofErr w:type="spellEnd"/>
      <w:r w:rsidRPr="008E0391">
        <w:rPr>
          <w:rFonts w:ascii="Arial" w:eastAsia="Times New Roman" w:hAnsi="Arial" w:cs="Arial"/>
          <w:bCs/>
          <w:sz w:val="18"/>
          <w:szCs w:val="18"/>
          <w:lang w:val="en-US" w:eastAsia="ru-RU"/>
        </w:rPr>
        <w:t xml:space="preserve"> (TGA) and differential thermal analysis (DTA) curves of the synthesized AN–MCPA copolymer are shown in Figure 5. The thermal degradation proceeds through three main stages, indicating a multistep decomposition mechanism typical of functional acrylonitrile–acrylate </w:t>
      </w:r>
      <w:proofErr w:type="spellStart"/>
      <w:proofErr w:type="gramStart"/>
      <w:r w:rsidRPr="008E0391">
        <w:rPr>
          <w:rFonts w:ascii="Arial" w:eastAsia="Times New Roman" w:hAnsi="Arial" w:cs="Arial"/>
          <w:bCs/>
          <w:sz w:val="18"/>
          <w:szCs w:val="18"/>
          <w:lang w:val="en-US" w:eastAsia="ru-RU"/>
        </w:rPr>
        <w:t>copolymers.The</w:t>
      </w:r>
      <w:proofErr w:type="spellEnd"/>
      <w:proofErr w:type="gramEnd"/>
      <w:r w:rsidRPr="008E0391">
        <w:rPr>
          <w:rFonts w:ascii="Arial" w:eastAsia="Times New Roman" w:hAnsi="Arial" w:cs="Arial"/>
          <w:bCs/>
          <w:sz w:val="18"/>
          <w:szCs w:val="18"/>
          <w:lang w:val="en-US" w:eastAsia="ru-RU"/>
        </w:rPr>
        <w:t xml:space="preserve"> first stage (32.8–126.8 °C) is characterized by a weight loss of 4.93%, which is attributed to the evaporation of physically adsorbed moisture and residual </w:t>
      </w:r>
      <w:proofErr w:type="spellStart"/>
      <w:r w:rsidRPr="008E0391">
        <w:rPr>
          <w:rFonts w:ascii="Arial" w:eastAsia="Times New Roman" w:hAnsi="Arial" w:cs="Arial"/>
          <w:bCs/>
          <w:sz w:val="18"/>
          <w:szCs w:val="18"/>
          <w:lang w:val="en-US" w:eastAsia="ru-RU"/>
        </w:rPr>
        <w:t>dimethylformamide</w:t>
      </w:r>
      <w:proofErr w:type="spellEnd"/>
      <w:r w:rsidRPr="008E0391">
        <w:rPr>
          <w:rFonts w:ascii="Arial" w:eastAsia="Times New Roman" w:hAnsi="Arial" w:cs="Arial"/>
          <w:bCs/>
          <w:sz w:val="18"/>
          <w:szCs w:val="18"/>
          <w:lang w:val="en-US" w:eastAsia="ru-RU"/>
        </w:rPr>
        <w:t xml:space="preserve"> entrapped within the polymer matrix. No significant structural degradation occurs in this temperature </w:t>
      </w:r>
      <w:proofErr w:type="spellStart"/>
      <w:proofErr w:type="gramStart"/>
      <w:r w:rsidRPr="008E0391">
        <w:rPr>
          <w:rFonts w:ascii="Arial" w:eastAsia="Times New Roman" w:hAnsi="Arial" w:cs="Arial"/>
          <w:bCs/>
          <w:sz w:val="18"/>
          <w:szCs w:val="18"/>
          <w:lang w:val="en-US" w:eastAsia="ru-RU"/>
        </w:rPr>
        <w:t>range.The</w:t>
      </w:r>
      <w:proofErr w:type="spellEnd"/>
      <w:proofErr w:type="gramEnd"/>
      <w:r w:rsidRPr="008E0391">
        <w:rPr>
          <w:rFonts w:ascii="Arial" w:eastAsia="Times New Roman" w:hAnsi="Arial" w:cs="Arial"/>
          <w:bCs/>
          <w:sz w:val="18"/>
          <w:szCs w:val="18"/>
          <w:lang w:val="en-US" w:eastAsia="ru-RU"/>
        </w:rPr>
        <w:t xml:space="preserve"> second stage (126.8–238.9 °C) results in a weight loss of approximately 13.00%. This stage is associated with the thermal decomposition of the ester groups and the initial degradation of the 1-chloro-3-morpholine propyl side chains. The polymer backbone remains largely intact, indicating that decomposition starts from the pendant functional groups.</w:t>
      </w:r>
    </w:p>
    <w:p w:rsidR="008E0391" w:rsidRPr="008E0391" w:rsidRDefault="008E0391" w:rsidP="008E0391">
      <w:pPr>
        <w:suppressAutoHyphens w:val="0"/>
        <w:spacing w:after="0" w:line="240" w:lineRule="auto"/>
        <w:ind w:firstLine="708"/>
        <w:jc w:val="both"/>
        <w:rPr>
          <w:rFonts w:ascii="Arial" w:eastAsia="Times New Roman" w:hAnsi="Arial" w:cs="Arial"/>
          <w:sz w:val="18"/>
          <w:szCs w:val="18"/>
          <w:lang w:val="en-US" w:eastAsia="ru-RU"/>
        </w:rPr>
      </w:pPr>
      <w:r w:rsidRPr="008E0391">
        <w:rPr>
          <w:rFonts w:ascii="Arial" w:eastAsia="Times New Roman" w:hAnsi="Arial" w:cs="Arial"/>
          <w:bCs/>
          <w:sz w:val="18"/>
          <w:szCs w:val="18"/>
          <w:lang w:val="en-US" w:eastAsia="ru-RU"/>
        </w:rPr>
        <w:lastRenderedPageBreak/>
        <w:t xml:space="preserve">The principal degradation stage occurs between 238.9 and 488.5 °C, where the copolymer loses 41.87% of its mass. This major weight loss is attributed to random scission of the macromolecular backbone together with decomposition of the nitrile-containing acrylonitrile segments and fragmentation of the acrylate units. The DTA curve exhibits a pronounced thermal effect in this region, confirming that the main-chain degradation takes place within this temperature </w:t>
      </w:r>
      <w:proofErr w:type="spellStart"/>
      <w:proofErr w:type="gramStart"/>
      <w:r w:rsidRPr="008E0391">
        <w:rPr>
          <w:rFonts w:ascii="Arial" w:eastAsia="Times New Roman" w:hAnsi="Arial" w:cs="Arial"/>
          <w:bCs/>
          <w:sz w:val="18"/>
          <w:szCs w:val="18"/>
          <w:lang w:val="en-US" w:eastAsia="ru-RU"/>
        </w:rPr>
        <w:t>interval.Above</w:t>
      </w:r>
      <w:proofErr w:type="spellEnd"/>
      <w:proofErr w:type="gramEnd"/>
      <w:r w:rsidRPr="008E0391">
        <w:rPr>
          <w:rFonts w:ascii="Arial" w:eastAsia="Times New Roman" w:hAnsi="Arial" w:cs="Arial"/>
          <w:bCs/>
          <w:sz w:val="18"/>
          <w:szCs w:val="18"/>
          <w:lang w:val="en-US" w:eastAsia="ru-RU"/>
        </w:rPr>
        <w:t xml:space="preserve"> 488.5 °C, only a small additional weight loss (4.47%) is observed up to 601.8 °C. This stage corresponds to carbonization and gradual decomposition of the remaining carbonaceous residue, leading to the formation of a thermally stable char.</w:t>
      </w:r>
    </w:p>
    <w:p w:rsidR="008E0391" w:rsidRDefault="008E0391" w:rsidP="008E0391">
      <w:pPr>
        <w:suppressAutoHyphens w:val="0"/>
        <w:spacing w:after="0" w:line="240" w:lineRule="auto"/>
        <w:ind w:firstLine="708"/>
        <w:jc w:val="both"/>
        <w:rPr>
          <w:rFonts w:ascii="Arial" w:eastAsia="Times New Roman" w:hAnsi="Arial" w:cs="Arial"/>
          <w:bCs/>
          <w:sz w:val="18"/>
          <w:szCs w:val="18"/>
          <w:lang w:val="en-US" w:eastAsia="ru-RU"/>
        </w:rPr>
      </w:pPr>
      <w:r w:rsidRPr="008E0391">
        <w:rPr>
          <w:rFonts w:ascii="Arial" w:eastAsia="Times New Roman" w:hAnsi="Arial" w:cs="Arial"/>
          <w:bCs/>
          <w:sz w:val="18"/>
          <w:szCs w:val="18"/>
          <w:lang w:val="en-US" w:eastAsia="ru-RU"/>
        </w:rPr>
        <w:t xml:space="preserve">The obtained thermal behavior is consistent with that reported for structurally related acrylonitrile–acrylate copolymers, in which degradation begins with cleavage of pendant ester groups followed by destruction of the polymer backbone at higher temperatures. The incorporation of </w:t>
      </w:r>
      <w:proofErr w:type="spellStart"/>
      <w:r w:rsidRPr="008E0391">
        <w:rPr>
          <w:rFonts w:ascii="Arial" w:eastAsia="Times New Roman" w:hAnsi="Arial" w:cs="Arial"/>
          <w:bCs/>
          <w:sz w:val="18"/>
          <w:szCs w:val="18"/>
          <w:lang w:val="en-US" w:eastAsia="ru-RU"/>
        </w:rPr>
        <w:t>morpholine</w:t>
      </w:r>
      <w:proofErr w:type="spellEnd"/>
      <w:r w:rsidRPr="008E0391">
        <w:rPr>
          <w:rFonts w:ascii="Arial" w:eastAsia="Times New Roman" w:hAnsi="Arial" w:cs="Arial"/>
          <w:bCs/>
          <w:sz w:val="18"/>
          <w:szCs w:val="18"/>
          <w:lang w:val="en-US" w:eastAsia="ru-RU"/>
        </w:rPr>
        <w:t>-containing MCPA units does not significantly reduce the thermal stability of the copolymer while providing additional functional characteristics. Overall, the synthesized AN–MCPA copolymer demonstrates satisfactory thermal stability for potential applications requiring moderate heat resistance.</w:t>
      </w:r>
    </w:p>
    <w:p w:rsidR="007C00E3" w:rsidRPr="008E0391" w:rsidRDefault="007C00E3" w:rsidP="008E0391">
      <w:pPr>
        <w:suppressAutoHyphens w:val="0"/>
        <w:spacing w:after="0" w:line="240" w:lineRule="auto"/>
        <w:ind w:firstLine="708"/>
        <w:jc w:val="both"/>
        <w:rPr>
          <w:rFonts w:ascii="Arial" w:eastAsia="Times New Roman" w:hAnsi="Arial" w:cs="Arial"/>
          <w:sz w:val="18"/>
          <w:szCs w:val="18"/>
          <w:lang w:val="en-US" w:eastAsia="ru-RU"/>
        </w:rPr>
      </w:pPr>
    </w:p>
    <w:p w:rsidR="00583D1D" w:rsidRDefault="002511A9">
      <w:pPr>
        <w:pStyle w:val="11"/>
        <w:ind w:left="0"/>
        <w:rPr>
          <w:rFonts w:ascii="Arial" w:hAnsi="Arial" w:cs="Arial"/>
          <w:sz w:val="18"/>
          <w:szCs w:val="18"/>
        </w:rPr>
      </w:pPr>
      <w:r>
        <w:rPr>
          <w:rFonts w:ascii="Arial" w:hAnsi="Arial" w:cs="Arial"/>
          <w:sz w:val="18"/>
          <w:szCs w:val="18"/>
        </w:rPr>
        <w:t>4. Conclusions</w:t>
      </w:r>
    </w:p>
    <w:p w:rsidR="007C00E3" w:rsidRPr="000A6828" w:rsidRDefault="000A6828" w:rsidP="008E0391">
      <w:pPr>
        <w:pStyle w:val="a5"/>
        <w:spacing w:line="276" w:lineRule="auto"/>
        <w:ind w:firstLine="709"/>
        <w:rPr>
          <w:rFonts w:ascii="Arial" w:hAnsi="Arial" w:cs="Arial"/>
          <w:bCs/>
          <w:sz w:val="18"/>
          <w:szCs w:val="18"/>
        </w:rPr>
      </w:pPr>
      <w:r w:rsidRPr="000A6828">
        <w:rPr>
          <w:rFonts w:ascii="Arial" w:hAnsi="Arial" w:cs="Arial"/>
          <w:bCs/>
          <w:sz w:val="18"/>
          <w:szCs w:val="18"/>
        </w:rPr>
        <w:t xml:space="preserve">AN–MCPA copolymers were successfully synthesized by free-radical copolymerization. FTIR, ¹H NMR, and TGA analyses confirmed the chemical structure and thermal stability of the obtained copolymers. The </w:t>
      </w:r>
      <w:proofErr w:type="spellStart"/>
      <w:r w:rsidRPr="000A6828">
        <w:rPr>
          <w:rFonts w:ascii="Arial" w:hAnsi="Arial" w:cs="Arial"/>
          <w:bCs/>
          <w:sz w:val="18"/>
          <w:szCs w:val="18"/>
        </w:rPr>
        <w:t>Fineman</w:t>
      </w:r>
      <w:proofErr w:type="spellEnd"/>
      <w:r w:rsidRPr="000A6828">
        <w:rPr>
          <w:rFonts w:ascii="Arial" w:hAnsi="Arial" w:cs="Arial"/>
          <w:bCs/>
          <w:sz w:val="18"/>
          <w:szCs w:val="18"/>
        </w:rPr>
        <w:t>–Ross reactivity ratios (r</w:t>
      </w:r>
      <w:r w:rsidRPr="000A6828">
        <w:rPr>
          <w:rFonts w:ascii="Cambria Math" w:hAnsi="Cambria Math" w:cs="Cambria Math"/>
          <w:bCs/>
          <w:sz w:val="18"/>
          <w:szCs w:val="18"/>
        </w:rPr>
        <w:t>₁</w:t>
      </w:r>
      <w:r w:rsidRPr="000A6828">
        <w:rPr>
          <w:rFonts w:ascii="Arial" w:hAnsi="Arial" w:cs="Arial"/>
          <w:bCs/>
          <w:sz w:val="18"/>
          <w:szCs w:val="18"/>
        </w:rPr>
        <w:t xml:space="preserve"> = 0.25, r</w:t>
      </w:r>
      <w:r w:rsidRPr="000A6828">
        <w:rPr>
          <w:rFonts w:ascii="Cambria Math" w:hAnsi="Cambria Math" w:cs="Cambria Math"/>
          <w:bCs/>
          <w:sz w:val="18"/>
          <w:szCs w:val="18"/>
        </w:rPr>
        <w:t>₂</w:t>
      </w:r>
      <w:r w:rsidRPr="000A6828">
        <w:rPr>
          <w:rFonts w:ascii="Arial" w:hAnsi="Arial" w:cs="Arial"/>
          <w:bCs/>
          <w:sz w:val="18"/>
          <w:szCs w:val="18"/>
        </w:rPr>
        <w:t xml:space="preserve"> = 0.80) indicated preferential cross-propagation and a tendency toward alternating incorporation of the </w:t>
      </w:r>
      <w:proofErr w:type="spellStart"/>
      <w:r w:rsidRPr="000A6828">
        <w:rPr>
          <w:rFonts w:ascii="Arial" w:hAnsi="Arial" w:cs="Arial"/>
          <w:bCs/>
          <w:sz w:val="18"/>
          <w:szCs w:val="18"/>
        </w:rPr>
        <w:t>comonomers</w:t>
      </w:r>
      <w:proofErr w:type="spellEnd"/>
      <w:r w:rsidRPr="000A6828">
        <w:rPr>
          <w:rFonts w:ascii="Arial" w:hAnsi="Arial" w:cs="Arial"/>
          <w:bCs/>
          <w:sz w:val="18"/>
          <w:szCs w:val="18"/>
        </w:rPr>
        <w:t xml:space="preserve">. Increasing the polymerization temperature accelerated the reaction and increased monomer conversion. </w:t>
      </w:r>
      <w:proofErr w:type="spellStart"/>
      <w:r w:rsidRPr="000A6828">
        <w:rPr>
          <w:rFonts w:ascii="Arial" w:hAnsi="Arial" w:cs="Arial"/>
          <w:bCs/>
          <w:sz w:val="18"/>
          <w:szCs w:val="18"/>
        </w:rPr>
        <w:t>Thermogravimetric</w:t>
      </w:r>
      <w:proofErr w:type="spellEnd"/>
      <w:r w:rsidRPr="000A6828">
        <w:rPr>
          <w:rFonts w:ascii="Arial" w:hAnsi="Arial" w:cs="Arial"/>
          <w:bCs/>
          <w:sz w:val="18"/>
          <w:szCs w:val="18"/>
        </w:rPr>
        <w:t xml:space="preserve"> analysis showed that the main degradation stage started above 239 °C, demonstrating satisfactory thermal stability. These results indicate that the synthesized AN–MCPA copolymers are promising functional polymeric </w:t>
      </w:r>
      <w:proofErr w:type="spellStart"/>
      <w:proofErr w:type="gramStart"/>
      <w:r w:rsidRPr="000A6828">
        <w:rPr>
          <w:rFonts w:ascii="Arial" w:hAnsi="Arial" w:cs="Arial"/>
          <w:bCs/>
          <w:sz w:val="18"/>
          <w:szCs w:val="18"/>
        </w:rPr>
        <w:t>materials.</w:t>
      </w:r>
      <w:r w:rsidR="00E931E3">
        <w:rPr>
          <w:rFonts w:ascii="Arial" w:hAnsi="Arial" w:cs="Arial"/>
          <w:bCs/>
          <w:sz w:val="18"/>
          <w:szCs w:val="18"/>
        </w:rPr>
        <w:t>b</w:t>
      </w:r>
      <w:proofErr w:type="spellEnd"/>
      <w:proofErr w:type="gramEnd"/>
      <w:r w:rsidR="00E931E3">
        <w:rPr>
          <w:rFonts w:ascii="Arial" w:hAnsi="Arial" w:cs="Arial"/>
          <w:bCs/>
          <w:sz w:val="18"/>
          <w:szCs w:val="18"/>
        </w:rPr>
        <w:t xml:space="preserve"> </w:t>
      </w:r>
    </w:p>
    <w:p w:rsidR="00583D1D" w:rsidRDefault="002511A9">
      <w:pPr>
        <w:pStyle w:val="a5"/>
        <w:spacing w:line="276" w:lineRule="auto"/>
        <w:ind w:left="0" w:firstLine="709"/>
        <w:rPr>
          <w:rFonts w:ascii="Arial" w:hAnsi="Arial" w:cs="Arial"/>
          <w:bCs/>
          <w:sz w:val="18"/>
          <w:szCs w:val="18"/>
        </w:rPr>
      </w:pPr>
      <w:r>
        <w:rPr>
          <w:rFonts w:ascii="Arial" w:hAnsi="Arial" w:cs="Arial"/>
          <w:b/>
          <w:bCs/>
          <w:sz w:val="18"/>
          <w:szCs w:val="18"/>
        </w:rPr>
        <w:t>Reference</w:t>
      </w:r>
      <w:r w:rsidR="00D432B6">
        <w:rPr>
          <w:rFonts w:ascii="Arial" w:hAnsi="Arial" w:cs="Arial"/>
          <w:b/>
          <w:bCs/>
          <w:sz w:val="18"/>
          <w:szCs w:val="18"/>
        </w:rPr>
        <w:t>s</w:t>
      </w:r>
    </w:p>
    <w:p w:rsidR="00D432B6" w:rsidRPr="00D432B6" w:rsidRDefault="00D432B6" w:rsidP="00D432B6">
      <w:pPr>
        <w:pStyle w:val="a5"/>
        <w:spacing w:line="276" w:lineRule="auto"/>
        <w:ind w:right="103" w:firstLine="710"/>
        <w:rPr>
          <w:rFonts w:ascii="Arial" w:hAnsi="Arial" w:cs="Arial"/>
          <w:bCs/>
          <w:sz w:val="18"/>
          <w:szCs w:val="18"/>
        </w:rPr>
      </w:pPr>
      <w:proofErr w:type="spellStart"/>
      <w:r w:rsidRPr="00D432B6">
        <w:rPr>
          <w:rFonts w:ascii="Arial" w:hAnsi="Arial" w:cs="Arial"/>
          <w:bCs/>
          <w:sz w:val="18"/>
          <w:szCs w:val="18"/>
        </w:rPr>
        <w:t>Aljamali</w:t>
      </w:r>
      <w:proofErr w:type="spellEnd"/>
      <w:r w:rsidRPr="00D432B6">
        <w:rPr>
          <w:rFonts w:ascii="Arial" w:hAnsi="Arial" w:cs="Arial"/>
          <w:bCs/>
          <w:sz w:val="18"/>
          <w:szCs w:val="18"/>
        </w:rPr>
        <w:t xml:space="preserve"> N.M., </w:t>
      </w:r>
      <w:proofErr w:type="spellStart"/>
      <w:r w:rsidRPr="00D432B6">
        <w:rPr>
          <w:rFonts w:ascii="Arial" w:hAnsi="Arial" w:cs="Arial"/>
          <w:bCs/>
          <w:sz w:val="18"/>
          <w:szCs w:val="18"/>
        </w:rPr>
        <w:t>Alfatlawi</w:t>
      </w:r>
      <w:proofErr w:type="spellEnd"/>
      <w:r w:rsidRPr="00D432B6">
        <w:rPr>
          <w:rFonts w:ascii="Arial" w:hAnsi="Arial" w:cs="Arial"/>
          <w:bCs/>
          <w:sz w:val="18"/>
          <w:szCs w:val="18"/>
        </w:rPr>
        <w:t xml:space="preserve"> I.O., 2015, Synthesis of sulfur heterocyclic compounds and study of expected biological activity, </w:t>
      </w:r>
      <w:r w:rsidRPr="00D432B6">
        <w:rPr>
          <w:rFonts w:ascii="Arial" w:hAnsi="Arial" w:cs="Arial"/>
          <w:bCs/>
          <w:i/>
          <w:iCs/>
          <w:sz w:val="18"/>
          <w:szCs w:val="18"/>
        </w:rPr>
        <w:t>Research Journal of Pharmaceutical Technology</w:t>
      </w:r>
      <w:r w:rsidRPr="00D432B6">
        <w:rPr>
          <w:rFonts w:ascii="Arial" w:hAnsi="Arial" w:cs="Arial"/>
          <w:bCs/>
          <w:sz w:val="18"/>
          <w:szCs w:val="18"/>
        </w:rPr>
        <w:t xml:space="preserve">, </w:t>
      </w:r>
      <w:r w:rsidRPr="00D432B6">
        <w:rPr>
          <w:rFonts w:ascii="Arial" w:hAnsi="Arial" w:cs="Arial"/>
          <w:b/>
          <w:bCs/>
          <w:sz w:val="18"/>
          <w:szCs w:val="18"/>
        </w:rPr>
        <w:t>8</w:t>
      </w:r>
      <w:r w:rsidRPr="00D432B6">
        <w:rPr>
          <w:rFonts w:ascii="Arial" w:hAnsi="Arial" w:cs="Arial"/>
          <w:bCs/>
          <w:sz w:val="18"/>
          <w:szCs w:val="18"/>
        </w:rPr>
        <w:t xml:space="preserve">(9), 1225–1231. </w:t>
      </w:r>
    </w:p>
    <w:p w:rsidR="00D432B6" w:rsidRPr="00D432B6" w:rsidRDefault="00D432B6" w:rsidP="00D432B6">
      <w:pPr>
        <w:pStyle w:val="a5"/>
        <w:spacing w:line="276" w:lineRule="auto"/>
        <w:ind w:right="103" w:firstLine="710"/>
        <w:rPr>
          <w:rFonts w:ascii="Arial" w:hAnsi="Arial" w:cs="Arial"/>
          <w:bCs/>
          <w:sz w:val="18"/>
          <w:szCs w:val="18"/>
        </w:rPr>
      </w:pPr>
      <w:proofErr w:type="spellStart"/>
      <w:r w:rsidRPr="00D432B6">
        <w:rPr>
          <w:rFonts w:ascii="Arial" w:hAnsi="Arial" w:cs="Arial"/>
          <w:bCs/>
          <w:sz w:val="18"/>
          <w:szCs w:val="18"/>
        </w:rPr>
        <w:t>Deryabina</w:t>
      </w:r>
      <w:proofErr w:type="spellEnd"/>
      <w:r w:rsidRPr="00D432B6">
        <w:rPr>
          <w:rFonts w:ascii="Arial" w:hAnsi="Arial" w:cs="Arial"/>
          <w:bCs/>
          <w:sz w:val="18"/>
          <w:szCs w:val="18"/>
        </w:rPr>
        <w:t xml:space="preserve"> G.I., 2013, </w:t>
      </w:r>
      <w:r w:rsidRPr="00D432B6">
        <w:rPr>
          <w:rFonts w:ascii="Arial" w:hAnsi="Arial" w:cs="Arial"/>
          <w:bCs/>
          <w:i/>
          <w:iCs/>
          <w:sz w:val="18"/>
          <w:szCs w:val="18"/>
        </w:rPr>
        <w:t>Copolymerization</w:t>
      </w:r>
      <w:r w:rsidRPr="00D432B6">
        <w:rPr>
          <w:rFonts w:ascii="Arial" w:hAnsi="Arial" w:cs="Arial"/>
          <w:bCs/>
          <w:sz w:val="18"/>
          <w:szCs w:val="18"/>
        </w:rPr>
        <w:t xml:space="preserve">, Samara University Publishing House, Samara, Russia. </w:t>
      </w:r>
    </w:p>
    <w:p w:rsidR="00D432B6" w:rsidRDefault="00D432B6" w:rsidP="00D432B6">
      <w:pPr>
        <w:pStyle w:val="a5"/>
        <w:spacing w:line="276" w:lineRule="auto"/>
        <w:ind w:right="103" w:firstLine="710"/>
        <w:rPr>
          <w:rFonts w:ascii="Arial" w:hAnsi="Arial" w:cs="Arial"/>
          <w:bCs/>
          <w:sz w:val="18"/>
          <w:szCs w:val="18"/>
        </w:rPr>
      </w:pPr>
      <w:r w:rsidRPr="00D432B6">
        <w:rPr>
          <w:rFonts w:ascii="Arial" w:hAnsi="Arial" w:cs="Arial"/>
          <w:bCs/>
          <w:sz w:val="18"/>
          <w:szCs w:val="18"/>
        </w:rPr>
        <w:t xml:space="preserve">Feng M., Tang B., Liang S.H., Jiang X., 2016, Sulfur-containing scaffolds in drugs: Synthesis and application in medicinal chemistry, </w:t>
      </w:r>
      <w:r w:rsidRPr="00D432B6">
        <w:rPr>
          <w:rFonts w:ascii="Arial" w:hAnsi="Arial" w:cs="Arial"/>
          <w:bCs/>
          <w:i/>
          <w:iCs/>
          <w:sz w:val="18"/>
          <w:szCs w:val="18"/>
        </w:rPr>
        <w:t>Current Topics in Medicinal Chemistry</w:t>
      </w:r>
      <w:r w:rsidRPr="00D432B6">
        <w:rPr>
          <w:rFonts w:ascii="Arial" w:hAnsi="Arial" w:cs="Arial"/>
          <w:bCs/>
          <w:sz w:val="18"/>
          <w:szCs w:val="18"/>
        </w:rPr>
        <w:t xml:space="preserve">, </w:t>
      </w:r>
      <w:r w:rsidRPr="00D432B6">
        <w:rPr>
          <w:rFonts w:ascii="Arial" w:hAnsi="Arial" w:cs="Arial"/>
          <w:b/>
          <w:bCs/>
          <w:sz w:val="18"/>
          <w:szCs w:val="18"/>
        </w:rPr>
        <w:t>16</w:t>
      </w:r>
      <w:r w:rsidRPr="00D432B6">
        <w:rPr>
          <w:rFonts w:ascii="Arial" w:hAnsi="Arial" w:cs="Arial"/>
          <w:bCs/>
          <w:sz w:val="18"/>
          <w:szCs w:val="18"/>
        </w:rPr>
        <w:t xml:space="preserve">(11), 1200–1216. </w:t>
      </w:r>
    </w:p>
    <w:p w:rsidR="000C2BE7" w:rsidRPr="000C2BE7" w:rsidRDefault="000C2BE7" w:rsidP="00D432B6">
      <w:pPr>
        <w:pStyle w:val="a5"/>
        <w:spacing w:line="276" w:lineRule="auto"/>
        <w:ind w:right="103" w:firstLine="710"/>
        <w:rPr>
          <w:rFonts w:ascii="Arial" w:hAnsi="Arial" w:cs="Arial"/>
          <w:bCs/>
          <w:sz w:val="18"/>
          <w:szCs w:val="18"/>
        </w:rPr>
      </w:pPr>
      <w:proofErr w:type="spellStart"/>
      <w:r w:rsidRPr="000C2BE7">
        <w:rPr>
          <w:rFonts w:ascii="Arial" w:hAnsi="Arial" w:cs="Arial"/>
          <w:bCs/>
          <w:sz w:val="18"/>
          <w:szCs w:val="18"/>
        </w:rPr>
        <w:t>Hubaish</w:t>
      </w:r>
      <w:proofErr w:type="spellEnd"/>
      <w:r w:rsidRPr="000C2BE7">
        <w:rPr>
          <w:rFonts w:ascii="Arial" w:hAnsi="Arial" w:cs="Arial"/>
          <w:bCs/>
          <w:sz w:val="18"/>
          <w:szCs w:val="18"/>
        </w:rPr>
        <w:t xml:space="preserve"> S.M., </w:t>
      </w:r>
      <w:proofErr w:type="spellStart"/>
      <w:r w:rsidRPr="000C2BE7">
        <w:rPr>
          <w:rFonts w:ascii="Arial" w:hAnsi="Arial" w:cs="Arial"/>
          <w:bCs/>
          <w:sz w:val="18"/>
          <w:szCs w:val="18"/>
        </w:rPr>
        <w:t>Saad</w:t>
      </w:r>
      <w:proofErr w:type="spellEnd"/>
      <w:r w:rsidRPr="000C2BE7">
        <w:rPr>
          <w:rFonts w:ascii="Arial" w:hAnsi="Arial" w:cs="Arial"/>
          <w:bCs/>
          <w:sz w:val="18"/>
          <w:szCs w:val="18"/>
        </w:rPr>
        <w:t xml:space="preserve"> M., </w:t>
      </w:r>
      <w:proofErr w:type="spellStart"/>
      <w:r w:rsidRPr="000C2BE7">
        <w:rPr>
          <w:rFonts w:ascii="Arial" w:hAnsi="Arial" w:cs="Arial"/>
          <w:bCs/>
          <w:sz w:val="18"/>
          <w:szCs w:val="18"/>
        </w:rPr>
        <w:t>Eljack</w:t>
      </w:r>
      <w:proofErr w:type="spellEnd"/>
      <w:r w:rsidRPr="000C2BE7">
        <w:rPr>
          <w:rFonts w:ascii="Arial" w:hAnsi="Arial" w:cs="Arial"/>
          <w:bCs/>
          <w:sz w:val="18"/>
          <w:szCs w:val="18"/>
        </w:rPr>
        <w:t xml:space="preserve"> F., </w:t>
      </w:r>
      <w:proofErr w:type="spellStart"/>
      <w:r w:rsidRPr="000C2BE7">
        <w:rPr>
          <w:rFonts w:ascii="Arial" w:hAnsi="Arial" w:cs="Arial"/>
          <w:bCs/>
          <w:sz w:val="18"/>
          <w:szCs w:val="18"/>
        </w:rPr>
        <w:t>Chitt</w:t>
      </w:r>
      <w:proofErr w:type="spellEnd"/>
      <w:r w:rsidRPr="000C2BE7">
        <w:rPr>
          <w:rFonts w:ascii="Arial" w:hAnsi="Arial" w:cs="Arial"/>
          <w:bCs/>
          <w:sz w:val="18"/>
          <w:szCs w:val="18"/>
        </w:rPr>
        <w:t xml:space="preserve"> M., </w:t>
      </w:r>
      <w:proofErr w:type="spellStart"/>
      <w:r w:rsidRPr="000C2BE7">
        <w:rPr>
          <w:rFonts w:ascii="Arial" w:hAnsi="Arial" w:cs="Arial"/>
          <w:bCs/>
          <w:sz w:val="18"/>
          <w:szCs w:val="18"/>
        </w:rPr>
        <w:t>Makhkamova</w:t>
      </w:r>
      <w:proofErr w:type="spellEnd"/>
      <w:r w:rsidRPr="000C2BE7">
        <w:rPr>
          <w:rFonts w:ascii="Arial" w:hAnsi="Arial" w:cs="Arial"/>
          <w:bCs/>
          <w:sz w:val="18"/>
          <w:szCs w:val="18"/>
        </w:rPr>
        <w:t xml:space="preserve"> L., </w:t>
      </w:r>
      <w:proofErr w:type="spellStart"/>
      <w:r w:rsidRPr="000C2BE7">
        <w:rPr>
          <w:rFonts w:ascii="Arial" w:hAnsi="Arial" w:cs="Arial"/>
          <w:bCs/>
          <w:sz w:val="18"/>
          <w:szCs w:val="18"/>
        </w:rPr>
        <w:t>Eid</w:t>
      </w:r>
      <w:proofErr w:type="spellEnd"/>
      <w:r w:rsidRPr="000C2BE7">
        <w:rPr>
          <w:rFonts w:ascii="Arial" w:hAnsi="Arial" w:cs="Arial"/>
          <w:bCs/>
          <w:sz w:val="18"/>
          <w:szCs w:val="18"/>
        </w:rPr>
        <w:t xml:space="preserve"> K., 2026, Porous carbon </w:t>
      </w:r>
      <w:proofErr w:type="spellStart"/>
      <w:r w:rsidRPr="000C2BE7">
        <w:rPr>
          <w:rFonts w:ascii="Arial" w:hAnsi="Arial" w:cs="Arial"/>
          <w:bCs/>
          <w:sz w:val="18"/>
          <w:szCs w:val="18"/>
        </w:rPr>
        <w:t>nanoflakes</w:t>
      </w:r>
      <w:proofErr w:type="spellEnd"/>
      <w:r w:rsidRPr="000C2BE7">
        <w:rPr>
          <w:rFonts w:ascii="Arial" w:hAnsi="Arial" w:cs="Arial"/>
          <w:bCs/>
          <w:sz w:val="18"/>
          <w:szCs w:val="18"/>
        </w:rPr>
        <w:t xml:space="preserve"> doped with boron derived from carbon fabric containing polyester as efficient </w:t>
      </w:r>
      <w:proofErr w:type="spellStart"/>
      <w:r w:rsidRPr="000C2BE7">
        <w:rPr>
          <w:rFonts w:ascii="Arial" w:hAnsi="Arial" w:cs="Arial"/>
          <w:bCs/>
          <w:sz w:val="18"/>
          <w:szCs w:val="18"/>
        </w:rPr>
        <w:t>electrocatalysts</w:t>
      </w:r>
      <w:proofErr w:type="spellEnd"/>
      <w:r w:rsidRPr="000C2BE7">
        <w:rPr>
          <w:rFonts w:ascii="Arial" w:hAnsi="Arial" w:cs="Arial"/>
          <w:bCs/>
          <w:sz w:val="18"/>
          <w:szCs w:val="18"/>
        </w:rPr>
        <w:t xml:space="preserve"> for green hydrogen production, Polymers, 18(9), 1107.</w:t>
      </w:r>
      <w:r w:rsidR="000A6828" w:rsidRPr="000A6828">
        <w:rPr>
          <w:rFonts w:asciiTheme="minorHAnsi" w:eastAsiaTheme="minorHAnsi" w:hAnsiTheme="minorHAnsi" w:cstheme="minorBidi"/>
          <w:sz w:val="22"/>
          <w:szCs w:val="22"/>
        </w:rPr>
        <w:t xml:space="preserve"> </w:t>
      </w:r>
      <w:r w:rsidR="000A6828" w:rsidRPr="000A6828">
        <w:rPr>
          <w:rFonts w:ascii="Arial" w:hAnsi="Arial" w:cs="Arial"/>
          <w:bCs/>
          <w:sz w:val="18"/>
          <w:szCs w:val="18"/>
          <w:lang w:val="ru-RU"/>
        </w:rPr>
        <w:t>DOI: 10.3390/polym18091107</w:t>
      </w:r>
    </w:p>
    <w:p w:rsidR="00D432B6" w:rsidRPr="00D432B6" w:rsidRDefault="00D432B6" w:rsidP="00D432B6">
      <w:pPr>
        <w:pStyle w:val="a5"/>
        <w:spacing w:line="276" w:lineRule="auto"/>
        <w:ind w:right="103" w:firstLine="710"/>
        <w:rPr>
          <w:rFonts w:ascii="Arial" w:hAnsi="Arial" w:cs="Arial"/>
          <w:bCs/>
          <w:sz w:val="18"/>
          <w:szCs w:val="18"/>
        </w:rPr>
      </w:pPr>
      <w:r w:rsidRPr="00D432B6">
        <w:rPr>
          <w:rFonts w:ascii="Arial" w:hAnsi="Arial" w:cs="Arial"/>
          <w:bCs/>
          <w:sz w:val="18"/>
          <w:szCs w:val="18"/>
        </w:rPr>
        <w:t xml:space="preserve">Liu P., Zhang N., Yi Y., </w:t>
      </w:r>
      <w:proofErr w:type="spellStart"/>
      <w:r w:rsidRPr="00D432B6">
        <w:rPr>
          <w:rFonts w:ascii="Arial" w:hAnsi="Arial" w:cs="Arial"/>
          <w:bCs/>
          <w:sz w:val="18"/>
          <w:szCs w:val="18"/>
        </w:rPr>
        <w:t>Gibril</w:t>
      </w:r>
      <w:proofErr w:type="spellEnd"/>
      <w:r w:rsidRPr="00D432B6">
        <w:rPr>
          <w:rFonts w:ascii="Arial" w:hAnsi="Arial" w:cs="Arial"/>
          <w:bCs/>
          <w:sz w:val="18"/>
          <w:szCs w:val="18"/>
        </w:rPr>
        <w:t xml:space="preserve"> M.E., Wang S., Kong F., 2020, Effect of lignin-based monomer on controlling the molecular weight and physical properties of the </w:t>
      </w:r>
      <w:proofErr w:type="spellStart"/>
      <w:r w:rsidRPr="00D432B6">
        <w:rPr>
          <w:rFonts w:ascii="Arial" w:hAnsi="Arial" w:cs="Arial"/>
          <w:bCs/>
          <w:sz w:val="18"/>
          <w:szCs w:val="18"/>
        </w:rPr>
        <w:t>polyacrylonitrile</w:t>
      </w:r>
      <w:proofErr w:type="spellEnd"/>
      <w:r w:rsidRPr="00D432B6">
        <w:rPr>
          <w:rFonts w:ascii="Arial" w:hAnsi="Arial" w:cs="Arial"/>
          <w:bCs/>
          <w:sz w:val="18"/>
          <w:szCs w:val="18"/>
        </w:rPr>
        <w:t xml:space="preserve">/lignin copolymer, </w:t>
      </w:r>
      <w:r w:rsidRPr="00D432B6">
        <w:rPr>
          <w:rFonts w:ascii="Arial" w:hAnsi="Arial" w:cs="Arial"/>
          <w:bCs/>
          <w:i/>
          <w:iCs/>
          <w:sz w:val="18"/>
          <w:szCs w:val="18"/>
        </w:rPr>
        <w:t>International Journal of Biological Macromolecules</w:t>
      </w:r>
      <w:r w:rsidRPr="00D432B6">
        <w:rPr>
          <w:rFonts w:ascii="Arial" w:hAnsi="Arial" w:cs="Arial"/>
          <w:bCs/>
          <w:sz w:val="18"/>
          <w:szCs w:val="18"/>
        </w:rPr>
        <w:t xml:space="preserve">, </w:t>
      </w:r>
      <w:r w:rsidRPr="00D432B6">
        <w:rPr>
          <w:rFonts w:ascii="Arial" w:hAnsi="Arial" w:cs="Arial"/>
          <w:b/>
          <w:bCs/>
          <w:sz w:val="18"/>
          <w:szCs w:val="18"/>
        </w:rPr>
        <w:t>164</w:t>
      </w:r>
      <w:r w:rsidRPr="00D432B6">
        <w:rPr>
          <w:rFonts w:ascii="Arial" w:hAnsi="Arial" w:cs="Arial"/>
          <w:bCs/>
          <w:sz w:val="18"/>
          <w:szCs w:val="18"/>
        </w:rPr>
        <w:t xml:space="preserve">, 2312–2322. </w:t>
      </w:r>
    </w:p>
    <w:p w:rsidR="00D432B6" w:rsidRDefault="00D432B6" w:rsidP="00D432B6">
      <w:pPr>
        <w:pStyle w:val="a5"/>
        <w:spacing w:line="276" w:lineRule="auto"/>
        <w:ind w:right="103" w:firstLine="710"/>
        <w:rPr>
          <w:rFonts w:ascii="Arial" w:hAnsi="Arial" w:cs="Arial"/>
          <w:bCs/>
          <w:sz w:val="18"/>
          <w:szCs w:val="18"/>
        </w:rPr>
      </w:pPr>
      <w:proofErr w:type="spellStart"/>
      <w:r w:rsidRPr="00D432B6">
        <w:rPr>
          <w:rFonts w:ascii="Arial" w:hAnsi="Arial" w:cs="Arial"/>
          <w:bCs/>
          <w:sz w:val="18"/>
          <w:szCs w:val="18"/>
        </w:rPr>
        <w:t>Mahkamova</w:t>
      </w:r>
      <w:proofErr w:type="spellEnd"/>
      <w:r w:rsidRPr="00D432B6">
        <w:rPr>
          <w:rFonts w:ascii="Arial" w:hAnsi="Arial" w:cs="Arial"/>
          <w:bCs/>
          <w:sz w:val="18"/>
          <w:szCs w:val="18"/>
        </w:rPr>
        <w:t xml:space="preserve"> L., 2023, Copolymerization of acrylonitrile with a nitrogen-containing ester, </w:t>
      </w:r>
      <w:r w:rsidRPr="00D432B6">
        <w:rPr>
          <w:rFonts w:ascii="Arial" w:hAnsi="Arial" w:cs="Arial"/>
          <w:bCs/>
          <w:i/>
          <w:iCs/>
          <w:sz w:val="18"/>
          <w:szCs w:val="18"/>
        </w:rPr>
        <w:t>E3S Web of Conferences</w:t>
      </w:r>
      <w:r w:rsidRPr="00D432B6">
        <w:rPr>
          <w:rFonts w:ascii="Arial" w:hAnsi="Arial" w:cs="Arial"/>
          <w:bCs/>
          <w:sz w:val="18"/>
          <w:szCs w:val="18"/>
        </w:rPr>
        <w:t xml:space="preserve">, </w:t>
      </w:r>
      <w:r w:rsidRPr="00D432B6">
        <w:rPr>
          <w:rFonts w:ascii="Arial" w:hAnsi="Arial" w:cs="Arial"/>
          <w:b/>
          <w:bCs/>
          <w:sz w:val="18"/>
          <w:szCs w:val="18"/>
        </w:rPr>
        <w:t>434</w:t>
      </w:r>
      <w:r w:rsidR="004F22E2">
        <w:rPr>
          <w:rFonts w:ascii="Arial" w:hAnsi="Arial" w:cs="Arial"/>
          <w:bCs/>
          <w:sz w:val="18"/>
          <w:szCs w:val="18"/>
        </w:rPr>
        <w:t>, 02031.</w:t>
      </w:r>
    </w:p>
    <w:p w:rsidR="004F22E2" w:rsidRPr="004F22E2" w:rsidRDefault="004F22E2" w:rsidP="00D432B6">
      <w:pPr>
        <w:pStyle w:val="a5"/>
        <w:spacing w:line="276" w:lineRule="auto"/>
        <w:ind w:right="103" w:firstLine="710"/>
        <w:rPr>
          <w:rFonts w:ascii="Arial" w:hAnsi="Arial" w:cs="Arial"/>
          <w:bCs/>
          <w:sz w:val="18"/>
          <w:szCs w:val="18"/>
        </w:rPr>
      </w:pPr>
      <w:r w:rsidRPr="004F22E2">
        <w:rPr>
          <w:rFonts w:ascii="Arial" w:hAnsi="Arial" w:cs="Arial"/>
          <w:bCs/>
          <w:sz w:val="18"/>
          <w:szCs w:val="18"/>
        </w:rPr>
        <w:t xml:space="preserve">Mahmood S.A., </w:t>
      </w:r>
      <w:proofErr w:type="spellStart"/>
      <w:r w:rsidRPr="004F22E2">
        <w:rPr>
          <w:rFonts w:ascii="Arial" w:hAnsi="Arial" w:cs="Arial"/>
          <w:bCs/>
          <w:sz w:val="18"/>
          <w:szCs w:val="18"/>
        </w:rPr>
        <w:t>Mobarak</w:t>
      </w:r>
      <w:proofErr w:type="spellEnd"/>
      <w:r w:rsidRPr="004F22E2">
        <w:rPr>
          <w:rFonts w:ascii="Arial" w:hAnsi="Arial" w:cs="Arial"/>
          <w:bCs/>
          <w:sz w:val="18"/>
          <w:szCs w:val="18"/>
        </w:rPr>
        <w:t xml:space="preserve"> N.N., </w:t>
      </w:r>
      <w:proofErr w:type="spellStart"/>
      <w:r w:rsidRPr="004F22E2">
        <w:rPr>
          <w:rFonts w:ascii="Arial" w:hAnsi="Arial" w:cs="Arial"/>
          <w:bCs/>
          <w:sz w:val="18"/>
          <w:szCs w:val="18"/>
        </w:rPr>
        <w:t>Khudayberdieva</w:t>
      </w:r>
      <w:proofErr w:type="spellEnd"/>
      <w:r w:rsidRPr="004F22E2">
        <w:rPr>
          <w:rFonts w:ascii="Arial" w:hAnsi="Arial" w:cs="Arial"/>
          <w:bCs/>
          <w:sz w:val="18"/>
          <w:szCs w:val="18"/>
        </w:rPr>
        <w:t xml:space="preserve"> A., </w:t>
      </w:r>
      <w:proofErr w:type="spellStart"/>
      <w:r w:rsidRPr="004F22E2">
        <w:rPr>
          <w:rFonts w:ascii="Arial" w:hAnsi="Arial" w:cs="Arial"/>
          <w:bCs/>
          <w:sz w:val="18"/>
          <w:szCs w:val="18"/>
        </w:rPr>
        <w:t>Doghmane</w:t>
      </w:r>
      <w:proofErr w:type="spellEnd"/>
      <w:r w:rsidRPr="004F22E2">
        <w:rPr>
          <w:rFonts w:ascii="Arial" w:hAnsi="Arial" w:cs="Arial"/>
          <w:bCs/>
          <w:sz w:val="18"/>
          <w:szCs w:val="18"/>
        </w:rPr>
        <w:t xml:space="preserve"> M., </w:t>
      </w:r>
      <w:proofErr w:type="spellStart"/>
      <w:r w:rsidRPr="004F22E2">
        <w:rPr>
          <w:rFonts w:ascii="Arial" w:hAnsi="Arial" w:cs="Arial"/>
          <w:bCs/>
          <w:sz w:val="18"/>
          <w:szCs w:val="18"/>
        </w:rPr>
        <w:t>Chettibi</w:t>
      </w:r>
      <w:proofErr w:type="spellEnd"/>
      <w:r w:rsidRPr="004F22E2">
        <w:rPr>
          <w:rFonts w:ascii="Arial" w:hAnsi="Arial" w:cs="Arial"/>
          <w:bCs/>
          <w:sz w:val="18"/>
          <w:szCs w:val="18"/>
        </w:rPr>
        <w:t xml:space="preserve"> S., </w:t>
      </w:r>
      <w:proofErr w:type="spellStart"/>
      <w:r w:rsidRPr="004F22E2">
        <w:rPr>
          <w:rFonts w:ascii="Arial" w:hAnsi="Arial" w:cs="Arial"/>
          <w:bCs/>
          <w:sz w:val="18"/>
          <w:szCs w:val="18"/>
        </w:rPr>
        <w:t>Eid</w:t>
      </w:r>
      <w:proofErr w:type="spellEnd"/>
      <w:r w:rsidRPr="004F22E2">
        <w:rPr>
          <w:rFonts w:ascii="Arial" w:hAnsi="Arial" w:cs="Arial"/>
          <w:bCs/>
          <w:sz w:val="18"/>
          <w:szCs w:val="18"/>
        </w:rPr>
        <w:t xml:space="preserve"> K., 2026, Silicon carbide (</w:t>
      </w:r>
      <w:proofErr w:type="spellStart"/>
      <w:r w:rsidRPr="004F22E2">
        <w:rPr>
          <w:rFonts w:ascii="Arial" w:hAnsi="Arial" w:cs="Arial"/>
          <w:bCs/>
          <w:sz w:val="18"/>
          <w:szCs w:val="18"/>
        </w:rPr>
        <w:t>SiC</w:t>
      </w:r>
      <w:proofErr w:type="spellEnd"/>
      <w:r w:rsidRPr="004F22E2">
        <w:rPr>
          <w:rFonts w:ascii="Arial" w:hAnsi="Arial" w:cs="Arial"/>
          <w:bCs/>
          <w:sz w:val="18"/>
          <w:szCs w:val="18"/>
        </w:rPr>
        <w:t>) and silicon/carbon (Si/C) composites for high-performance rechargeable metal-ion batteries</w:t>
      </w:r>
      <w:r>
        <w:rPr>
          <w:rFonts w:ascii="Arial" w:hAnsi="Arial" w:cs="Arial"/>
          <w:bCs/>
          <w:sz w:val="18"/>
          <w:szCs w:val="18"/>
        </w:rPr>
        <w:t>, Polymers, 18(9), Article 1107.</w:t>
      </w:r>
    </w:p>
    <w:p w:rsidR="00D432B6" w:rsidRPr="00D432B6" w:rsidRDefault="00D432B6" w:rsidP="00D432B6">
      <w:pPr>
        <w:pStyle w:val="a5"/>
        <w:spacing w:line="276" w:lineRule="auto"/>
        <w:ind w:right="103" w:firstLine="710"/>
        <w:rPr>
          <w:rFonts w:ascii="Arial" w:hAnsi="Arial" w:cs="Arial"/>
          <w:bCs/>
          <w:sz w:val="18"/>
          <w:szCs w:val="18"/>
        </w:rPr>
      </w:pPr>
      <w:r w:rsidRPr="00D432B6">
        <w:rPr>
          <w:rFonts w:ascii="Arial" w:hAnsi="Arial" w:cs="Arial"/>
          <w:bCs/>
          <w:sz w:val="18"/>
          <w:szCs w:val="18"/>
        </w:rPr>
        <w:t xml:space="preserve">Smith Q., Huang J., </w:t>
      </w:r>
      <w:proofErr w:type="spellStart"/>
      <w:r w:rsidRPr="00D432B6">
        <w:rPr>
          <w:rFonts w:ascii="Arial" w:hAnsi="Arial" w:cs="Arial"/>
          <w:bCs/>
          <w:sz w:val="18"/>
          <w:szCs w:val="18"/>
        </w:rPr>
        <w:t>Matyjaszewski</w:t>
      </w:r>
      <w:proofErr w:type="spellEnd"/>
      <w:r w:rsidRPr="00D432B6">
        <w:rPr>
          <w:rFonts w:ascii="Arial" w:hAnsi="Arial" w:cs="Arial"/>
          <w:bCs/>
          <w:sz w:val="18"/>
          <w:szCs w:val="18"/>
        </w:rPr>
        <w:t xml:space="preserve"> K., Loo Y.-L., 2005, Controlled radical polymerization and copolymerization of 5-methylene-2-phenyl-1,3-dioxolan-4-one by ATRP, </w:t>
      </w:r>
      <w:r w:rsidRPr="00D432B6">
        <w:rPr>
          <w:rFonts w:ascii="Arial" w:hAnsi="Arial" w:cs="Arial"/>
          <w:bCs/>
          <w:i/>
          <w:iCs/>
          <w:sz w:val="18"/>
          <w:szCs w:val="18"/>
        </w:rPr>
        <w:t>Macromolecules</w:t>
      </w:r>
      <w:r w:rsidRPr="00D432B6">
        <w:rPr>
          <w:rFonts w:ascii="Arial" w:hAnsi="Arial" w:cs="Arial"/>
          <w:bCs/>
          <w:sz w:val="18"/>
          <w:szCs w:val="18"/>
        </w:rPr>
        <w:t xml:space="preserve">, </w:t>
      </w:r>
      <w:r w:rsidRPr="00D432B6">
        <w:rPr>
          <w:rFonts w:ascii="Arial" w:hAnsi="Arial" w:cs="Arial"/>
          <w:b/>
          <w:bCs/>
          <w:sz w:val="18"/>
          <w:szCs w:val="18"/>
        </w:rPr>
        <w:t>38</w:t>
      </w:r>
      <w:r w:rsidRPr="00D432B6">
        <w:rPr>
          <w:rFonts w:ascii="Arial" w:hAnsi="Arial" w:cs="Arial"/>
          <w:bCs/>
          <w:sz w:val="18"/>
          <w:szCs w:val="18"/>
        </w:rPr>
        <w:t xml:space="preserve">(13), 5581–5586. </w:t>
      </w:r>
    </w:p>
    <w:p w:rsidR="00D432B6" w:rsidRPr="00D432B6" w:rsidRDefault="00D432B6" w:rsidP="00D432B6">
      <w:pPr>
        <w:pStyle w:val="a5"/>
        <w:spacing w:line="276" w:lineRule="auto"/>
        <w:ind w:right="103" w:firstLine="710"/>
        <w:rPr>
          <w:rFonts w:ascii="Arial" w:hAnsi="Arial" w:cs="Arial"/>
          <w:bCs/>
          <w:sz w:val="18"/>
          <w:szCs w:val="18"/>
        </w:rPr>
      </w:pPr>
      <w:proofErr w:type="spellStart"/>
      <w:r w:rsidRPr="00D432B6">
        <w:rPr>
          <w:rFonts w:ascii="Arial" w:hAnsi="Arial" w:cs="Arial"/>
          <w:bCs/>
          <w:sz w:val="18"/>
          <w:szCs w:val="18"/>
        </w:rPr>
        <w:t>Suhara</w:t>
      </w:r>
      <w:proofErr w:type="spellEnd"/>
      <w:r w:rsidRPr="00D432B6">
        <w:rPr>
          <w:rFonts w:ascii="Arial" w:hAnsi="Arial" w:cs="Arial"/>
          <w:bCs/>
          <w:sz w:val="18"/>
          <w:szCs w:val="18"/>
        </w:rPr>
        <w:t xml:space="preserve"> Y., Sato K., </w:t>
      </w:r>
      <w:proofErr w:type="spellStart"/>
      <w:r w:rsidRPr="00D432B6">
        <w:rPr>
          <w:rFonts w:ascii="Arial" w:hAnsi="Arial" w:cs="Arial"/>
          <w:bCs/>
          <w:sz w:val="18"/>
          <w:szCs w:val="18"/>
        </w:rPr>
        <w:t>Samitsu</w:t>
      </w:r>
      <w:proofErr w:type="spellEnd"/>
      <w:r w:rsidRPr="00D432B6">
        <w:rPr>
          <w:rFonts w:ascii="Arial" w:hAnsi="Arial" w:cs="Arial"/>
          <w:bCs/>
          <w:sz w:val="18"/>
          <w:szCs w:val="18"/>
        </w:rPr>
        <w:t xml:space="preserve"> S., Mori H., 2026, High-refractive-index copolymers produced by radical copolymerization of aromatic heterocyclic monomers in deep eutectic solvents, </w:t>
      </w:r>
      <w:r w:rsidRPr="00D432B6">
        <w:rPr>
          <w:rFonts w:ascii="Arial" w:hAnsi="Arial" w:cs="Arial"/>
          <w:bCs/>
          <w:i/>
          <w:iCs/>
          <w:sz w:val="18"/>
          <w:szCs w:val="18"/>
        </w:rPr>
        <w:t>RSC Applied Polymers</w:t>
      </w:r>
      <w:r w:rsidRPr="00D432B6">
        <w:rPr>
          <w:rFonts w:ascii="Arial" w:hAnsi="Arial" w:cs="Arial"/>
          <w:bCs/>
          <w:sz w:val="18"/>
          <w:szCs w:val="18"/>
        </w:rPr>
        <w:t xml:space="preserve">. </w:t>
      </w:r>
    </w:p>
    <w:p w:rsidR="00D432B6" w:rsidRPr="00D432B6" w:rsidRDefault="00D432B6" w:rsidP="00D432B6">
      <w:pPr>
        <w:pStyle w:val="a5"/>
        <w:spacing w:line="276" w:lineRule="auto"/>
        <w:ind w:right="103" w:firstLine="710"/>
        <w:rPr>
          <w:rFonts w:ascii="Arial" w:hAnsi="Arial" w:cs="Arial"/>
          <w:bCs/>
          <w:sz w:val="18"/>
          <w:szCs w:val="18"/>
        </w:rPr>
      </w:pPr>
      <w:proofErr w:type="spellStart"/>
      <w:r w:rsidRPr="00D432B6">
        <w:rPr>
          <w:rFonts w:ascii="Arial" w:hAnsi="Arial" w:cs="Arial"/>
          <w:bCs/>
          <w:sz w:val="18"/>
          <w:szCs w:val="18"/>
        </w:rPr>
        <w:t>Tomsa</w:t>
      </w:r>
      <w:proofErr w:type="spellEnd"/>
      <w:r w:rsidRPr="00D432B6">
        <w:rPr>
          <w:rFonts w:ascii="Arial" w:hAnsi="Arial" w:cs="Arial"/>
          <w:bCs/>
          <w:sz w:val="18"/>
          <w:szCs w:val="18"/>
        </w:rPr>
        <w:t xml:space="preserve"> R.V., </w:t>
      </w:r>
      <w:proofErr w:type="spellStart"/>
      <w:r w:rsidRPr="00D432B6">
        <w:rPr>
          <w:rFonts w:ascii="Arial" w:hAnsi="Arial" w:cs="Arial"/>
          <w:bCs/>
          <w:sz w:val="18"/>
          <w:szCs w:val="18"/>
        </w:rPr>
        <w:t>Balashova</w:t>
      </w:r>
      <w:proofErr w:type="spellEnd"/>
      <w:r w:rsidRPr="00D432B6">
        <w:rPr>
          <w:rFonts w:ascii="Arial" w:hAnsi="Arial" w:cs="Arial"/>
          <w:bCs/>
          <w:sz w:val="18"/>
          <w:szCs w:val="18"/>
        </w:rPr>
        <w:t xml:space="preserve"> M.S., </w:t>
      </w:r>
      <w:proofErr w:type="spellStart"/>
      <w:r w:rsidRPr="00D432B6">
        <w:rPr>
          <w:rFonts w:ascii="Arial" w:hAnsi="Arial" w:cs="Arial"/>
          <w:bCs/>
          <w:sz w:val="18"/>
          <w:szCs w:val="18"/>
        </w:rPr>
        <w:t>Shaovaa</w:t>
      </w:r>
      <w:proofErr w:type="spellEnd"/>
      <w:r w:rsidRPr="00D432B6">
        <w:rPr>
          <w:rFonts w:ascii="Arial" w:hAnsi="Arial" w:cs="Arial"/>
          <w:bCs/>
          <w:sz w:val="18"/>
          <w:szCs w:val="18"/>
        </w:rPr>
        <w:t xml:space="preserve"> A.A., </w:t>
      </w:r>
      <w:proofErr w:type="spellStart"/>
      <w:r w:rsidRPr="00D432B6">
        <w:rPr>
          <w:rFonts w:ascii="Arial" w:hAnsi="Arial" w:cs="Arial"/>
          <w:bCs/>
          <w:sz w:val="18"/>
          <w:szCs w:val="18"/>
        </w:rPr>
        <w:t>Gerval'da</w:t>
      </w:r>
      <w:proofErr w:type="spellEnd"/>
      <w:r w:rsidRPr="00D432B6">
        <w:rPr>
          <w:rFonts w:ascii="Arial" w:hAnsi="Arial" w:cs="Arial"/>
          <w:bCs/>
          <w:sz w:val="18"/>
          <w:szCs w:val="18"/>
        </w:rPr>
        <w:t xml:space="preserve"> </w:t>
      </w:r>
      <w:proofErr w:type="spellStart"/>
      <w:r w:rsidRPr="00D432B6">
        <w:rPr>
          <w:rFonts w:ascii="Arial" w:hAnsi="Arial" w:cs="Arial"/>
          <w:bCs/>
          <w:sz w:val="18"/>
          <w:szCs w:val="18"/>
        </w:rPr>
        <w:t>A.Yu</w:t>
      </w:r>
      <w:proofErr w:type="spellEnd"/>
      <w:r w:rsidRPr="00D432B6">
        <w:rPr>
          <w:rFonts w:ascii="Arial" w:hAnsi="Arial" w:cs="Arial"/>
          <w:bCs/>
          <w:sz w:val="18"/>
          <w:szCs w:val="18"/>
        </w:rPr>
        <w:t xml:space="preserve">., </w:t>
      </w:r>
      <w:proofErr w:type="spellStart"/>
      <w:r w:rsidRPr="00D432B6">
        <w:rPr>
          <w:rFonts w:ascii="Arial" w:hAnsi="Arial" w:cs="Arial"/>
          <w:bCs/>
          <w:sz w:val="18"/>
          <w:szCs w:val="18"/>
        </w:rPr>
        <w:t>Prokopova</w:t>
      </w:r>
      <w:proofErr w:type="spellEnd"/>
      <w:r w:rsidRPr="00D432B6">
        <w:rPr>
          <w:rFonts w:ascii="Arial" w:hAnsi="Arial" w:cs="Arial"/>
          <w:bCs/>
          <w:sz w:val="18"/>
          <w:szCs w:val="18"/>
        </w:rPr>
        <w:t xml:space="preserve"> N.I., </w:t>
      </w:r>
      <w:proofErr w:type="spellStart"/>
      <w:r w:rsidRPr="00D432B6">
        <w:rPr>
          <w:rFonts w:ascii="Arial" w:hAnsi="Arial" w:cs="Arial"/>
          <w:bCs/>
          <w:sz w:val="18"/>
          <w:szCs w:val="18"/>
        </w:rPr>
        <w:t>Plutalova</w:t>
      </w:r>
      <w:proofErr w:type="spellEnd"/>
      <w:r w:rsidRPr="00D432B6">
        <w:rPr>
          <w:rFonts w:ascii="Arial" w:hAnsi="Arial" w:cs="Arial"/>
          <w:bCs/>
          <w:sz w:val="18"/>
          <w:szCs w:val="18"/>
        </w:rPr>
        <w:t xml:space="preserve"> A.V., </w:t>
      </w:r>
      <w:proofErr w:type="spellStart"/>
      <w:r w:rsidRPr="00D432B6">
        <w:rPr>
          <w:rFonts w:ascii="Arial" w:hAnsi="Arial" w:cs="Arial"/>
          <w:bCs/>
          <w:sz w:val="18"/>
          <w:szCs w:val="18"/>
        </w:rPr>
        <w:t>Grebenkina</w:t>
      </w:r>
      <w:proofErr w:type="spellEnd"/>
      <w:r w:rsidRPr="00D432B6">
        <w:rPr>
          <w:rFonts w:ascii="Arial" w:hAnsi="Arial" w:cs="Arial"/>
          <w:bCs/>
          <w:sz w:val="18"/>
          <w:szCs w:val="18"/>
        </w:rPr>
        <w:t xml:space="preserve"> N.A., </w:t>
      </w:r>
      <w:proofErr w:type="spellStart"/>
      <w:r w:rsidRPr="00D432B6">
        <w:rPr>
          <w:rFonts w:ascii="Arial" w:hAnsi="Arial" w:cs="Arial"/>
          <w:bCs/>
          <w:sz w:val="18"/>
          <w:szCs w:val="18"/>
        </w:rPr>
        <w:t>Chernikova</w:t>
      </w:r>
      <w:proofErr w:type="spellEnd"/>
      <w:r w:rsidRPr="00D432B6">
        <w:rPr>
          <w:rFonts w:ascii="Arial" w:hAnsi="Arial" w:cs="Arial"/>
          <w:bCs/>
          <w:sz w:val="18"/>
          <w:szCs w:val="18"/>
        </w:rPr>
        <w:t xml:space="preserve"> E.V., 2020, Copolymers of acrylonitrile and acrylic acid: Effect of composition and distribution of chain units on the thermal behavior of copolymers, </w:t>
      </w:r>
      <w:r w:rsidRPr="00D432B6">
        <w:rPr>
          <w:rFonts w:ascii="Arial" w:hAnsi="Arial" w:cs="Arial"/>
          <w:bCs/>
          <w:i/>
          <w:iCs/>
          <w:sz w:val="18"/>
          <w:szCs w:val="18"/>
        </w:rPr>
        <w:t>Polymer Science Series B</w:t>
      </w:r>
      <w:r w:rsidRPr="00D432B6">
        <w:rPr>
          <w:rFonts w:ascii="Arial" w:hAnsi="Arial" w:cs="Arial"/>
          <w:bCs/>
          <w:sz w:val="18"/>
          <w:szCs w:val="18"/>
        </w:rPr>
        <w:t xml:space="preserve">, </w:t>
      </w:r>
      <w:r w:rsidRPr="00D432B6">
        <w:rPr>
          <w:rFonts w:ascii="Arial" w:hAnsi="Arial" w:cs="Arial"/>
          <w:b/>
          <w:bCs/>
          <w:sz w:val="18"/>
          <w:szCs w:val="18"/>
        </w:rPr>
        <w:t>62</w:t>
      </w:r>
      <w:r w:rsidRPr="00D432B6">
        <w:rPr>
          <w:rFonts w:ascii="Arial" w:hAnsi="Arial" w:cs="Arial"/>
          <w:bCs/>
          <w:sz w:val="18"/>
          <w:szCs w:val="18"/>
        </w:rPr>
        <w:t xml:space="preserve">(2), 102–115. </w:t>
      </w:r>
    </w:p>
    <w:p w:rsidR="00D432B6" w:rsidRPr="00D432B6" w:rsidRDefault="00D432B6" w:rsidP="00D432B6">
      <w:pPr>
        <w:pStyle w:val="a5"/>
        <w:spacing w:line="276" w:lineRule="auto"/>
        <w:ind w:right="103" w:firstLine="710"/>
        <w:rPr>
          <w:rFonts w:ascii="Arial" w:hAnsi="Arial" w:cs="Arial"/>
          <w:bCs/>
          <w:sz w:val="18"/>
          <w:szCs w:val="18"/>
        </w:rPr>
      </w:pPr>
      <w:proofErr w:type="spellStart"/>
      <w:r w:rsidRPr="00D432B6">
        <w:rPr>
          <w:rFonts w:ascii="Arial" w:hAnsi="Arial" w:cs="Arial"/>
          <w:bCs/>
          <w:sz w:val="18"/>
          <w:szCs w:val="18"/>
        </w:rPr>
        <w:t>Vygodsky</w:t>
      </w:r>
      <w:proofErr w:type="spellEnd"/>
      <w:r w:rsidRPr="00D432B6">
        <w:rPr>
          <w:rFonts w:ascii="Arial" w:hAnsi="Arial" w:cs="Arial"/>
          <w:bCs/>
          <w:sz w:val="18"/>
          <w:szCs w:val="18"/>
        </w:rPr>
        <w:t xml:space="preserve"> Y.S., </w:t>
      </w:r>
      <w:proofErr w:type="spellStart"/>
      <w:r w:rsidRPr="00D432B6">
        <w:rPr>
          <w:rFonts w:ascii="Arial" w:hAnsi="Arial" w:cs="Arial"/>
          <w:bCs/>
          <w:sz w:val="18"/>
          <w:szCs w:val="18"/>
        </w:rPr>
        <w:t>Melnik</w:t>
      </w:r>
      <w:proofErr w:type="spellEnd"/>
      <w:r w:rsidRPr="00D432B6">
        <w:rPr>
          <w:rFonts w:ascii="Arial" w:hAnsi="Arial" w:cs="Arial"/>
          <w:bCs/>
          <w:sz w:val="18"/>
          <w:szCs w:val="18"/>
        </w:rPr>
        <w:t xml:space="preserve"> O.A., </w:t>
      </w:r>
      <w:proofErr w:type="spellStart"/>
      <w:r w:rsidRPr="00D432B6">
        <w:rPr>
          <w:rFonts w:ascii="Arial" w:hAnsi="Arial" w:cs="Arial"/>
          <w:bCs/>
          <w:sz w:val="18"/>
          <w:szCs w:val="18"/>
        </w:rPr>
        <w:t>Lozinskaya</w:t>
      </w:r>
      <w:proofErr w:type="spellEnd"/>
      <w:r w:rsidRPr="00D432B6">
        <w:rPr>
          <w:rFonts w:ascii="Arial" w:hAnsi="Arial" w:cs="Arial"/>
          <w:bCs/>
          <w:sz w:val="18"/>
          <w:szCs w:val="18"/>
        </w:rPr>
        <w:t xml:space="preserve"> E.I., </w:t>
      </w:r>
      <w:proofErr w:type="spellStart"/>
      <w:r w:rsidRPr="00D432B6">
        <w:rPr>
          <w:rFonts w:ascii="Arial" w:hAnsi="Arial" w:cs="Arial"/>
          <w:bCs/>
          <w:sz w:val="18"/>
          <w:szCs w:val="18"/>
        </w:rPr>
        <w:t>Shaplov</w:t>
      </w:r>
      <w:proofErr w:type="spellEnd"/>
      <w:r w:rsidRPr="00D432B6">
        <w:rPr>
          <w:rFonts w:ascii="Arial" w:hAnsi="Arial" w:cs="Arial"/>
          <w:bCs/>
          <w:sz w:val="18"/>
          <w:szCs w:val="18"/>
        </w:rPr>
        <w:t xml:space="preserve"> A.S., 2005, Radical polymerization and copolymerization of acrylonitrile in ionic liquids, </w:t>
      </w:r>
      <w:r w:rsidRPr="00D432B6">
        <w:rPr>
          <w:rFonts w:ascii="Arial" w:hAnsi="Arial" w:cs="Arial"/>
          <w:bCs/>
          <w:i/>
          <w:iCs/>
          <w:sz w:val="18"/>
          <w:szCs w:val="18"/>
        </w:rPr>
        <w:t>High Molecular Compounds Series B</w:t>
      </w:r>
      <w:r w:rsidRPr="00D432B6">
        <w:rPr>
          <w:rFonts w:ascii="Arial" w:hAnsi="Arial" w:cs="Arial"/>
          <w:bCs/>
          <w:sz w:val="18"/>
          <w:szCs w:val="18"/>
        </w:rPr>
        <w:t xml:space="preserve">, </w:t>
      </w:r>
      <w:r w:rsidRPr="00D432B6">
        <w:rPr>
          <w:rFonts w:ascii="Arial" w:hAnsi="Arial" w:cs="Arial"/>
          <w:b/>
          <w:bCs/>
          <w:sz w:val="18"/>
          <w:szCs w:val="18"/>
        </w:rPr>
        <w:t>47</w:t>
      </w:r>
      <w:r w:rsidRPr="00D432B6">
        <w:rPr>
          <w:rFonts w:ascii="Arial" w:hAnsi="Arial" w:cs="Arial"/>
          <w:bCs/>
          <w:sz w:val="18"/>
          <w:szCs w:val="18"/>
        </w:rPr>
        <w:t xml:space="preserve">(4), 704–709. </w:t>
      </w:r>
    </w:p>
    <w:p w:rsidR="00D432B6" w:rsidRPr="00D432B6" w:rsidRDefault="00D432B6" w:rsidP="00D432B6">
      <w:pPr>
        <w:pStyle w:val="a5"/>
        <w:spacing w:line="276" w:lineRule="auto"/>
        <w:ind w:right="103" w:firstLine="710"/>
        <w:rPr>
          <w:rFonts w:ascii="Arial" w:hAnsi="Arial" w:cs="Arial"/>
          <w:bCs/>
          <w:sz w:val="18"/>
          <w:szCs w:val="18"/>
        </w:rPr>
      </w:pPr>
      <w:r w:rsidRPr="00D432B6">
        <w:rPr>
          <w:rFonts w:ascii="Arial" w:hAnsi="Arial" w:cs="Arial"/>
          <w:bCs/>
          <w:sz w:val="18"/>
          <w:szCs w:val="18"/>
        </w:rPr>
        <w:t xml:space="preserve">Wang Z., </w:t>
      </w:r>
      <w:proofErr w:type="spellStart"/>
      <w:r w:rsidRPr="00D432B6">
        <w:rPr>
          <w:rFonts w:ascii="Arial" w:hAnsi="Arial" w:cs="Arial"/>
          <w:bCs/>
          <w:sz w:val="18"/>
          <w:szCs w:val="18"/>
        </w:rPr>
        <w:t>Debuigne</w:t>
      </w:r>
      <w:proofErr w:type="spellEnd"/>
      <w:r w:rsidRPr="00D432B6">
        <w:rPr>
          <w:rFonts w:ascii="Arial" w:hAnsi="Arial" w:cs="Arial"/>
          <w:bCs/>
          <w:sz w:val="18"/>
          <w:szCs w:val="18"/>
        </w:rPr>
        <w:t xml:space="preserve"> A., 2023, Radical polymerization of methylene heterocyclic compounds: Functional polymer synthesis and applications, </w:t>
      </w:r>
      <w:r w:rsidRPr="00D432B6">
        <w:rPr>
          <w:rFonts w:ascii="Arial" w:hAnsi="Arial" w:cs="Arial"/>
          <w:bCs/>
          <w:i/>
          <w:iCs/>
          <w:sz w:val="18"/>
          <w:szCs w:val="18"/>
        </w:rPr>
        <w:t>Polymer Reviews</w:t>
      </w:r>
      <w:r w:rsidRPr="00D432B6">
        <w:rPr>
          <w:rFonts w:ascii="Arial" w:hAnsi="Arial" w:cs="Arial"/>
          <w:bCs/>
          <w:sz w:val="18"/>
          <w:szCs w:val="18"/>
        </w:rPr>
        <w:t xml:space="preserve">, 805–851. </w:t>
      </w:r>
    </w:p>
    <w:p w:rsidR="00D432B6" w:rsidRPr="00D432B6" w:rsidRDefault="00D432B6" w:rsidP="00D432B6">
      <w:pPr>
        <w:pStyle w:val="a5"/>
        <w:spacing w:line="276" w:lineRule="auto"/>
        <w:ind w:right="103" w:firstLine="710"/>
        <w:rPr>
          <w:rFonts w:ascii="Arial" w:hAnsi="Arial" w:cs="Arial"/>
          <w:bCs/>
          <w:sz w:val="18"/>
          <w:szCs w:val="18"/>
        </w:rPr>
      </w:pPr>
      <w:r w:rsidRPr="00D432B6">
        <w:rPr>
          <w:rFonts w:ascii="Arial" w:hAnsi="Arial" w:cs="Arial"/>
          <w:bCs/>
          <w:sz w:val="18"/>
          <w:szCs w:val="18"/>
        </w:rPr>
        <w:t xml:space="preserve">Ye Z., Zhang F., 2019, Recent advances in constructing nitrogen-containing heterocycles via electrochemical dehydrogenation, </w:t>
      </w:r>
      <w:r w:rsidRPr="00D432B6">
        <w:rPr>
          <w:rFonts w:ascii="Arial" w:hAnsi="Arial" w:cs="Arial"/>
          <w:bCs/>
          <w:i/>
          <w:iCs/>
          <w:sz w:val="18"/>
          <w:szCs w:val="18"/>
        </w:rPr>
        <w:t>Chinese Journal of Chemistry</w:t>
      </w:r>
      <w:r w:rsidRPr="00D432B6">
        <w:rPr>
          <w:rFonts w:ascii="Arial" w:hAnsi="Arial" w:cs="Arial"/>
          <w:bCs/>
          <w:sz w:val="18"/>
          <w:szCs w:val="18"/>
        </w:rPr>
        <w:t xml:space="preserve">, </w:t>
      </w:r>
      <w:r w:rsidRPr="00D432B6">
        <w:rPr>
          <w:rFonts w:ascii="Arial" w:hAnsi="Arial" w:cs="Arial"/>
          <w:b/>
          <w:bCs/>
          <w:sz w:val="18"/>
          <w:szCs w:val="18"/>
        </w:rPr>
        <w:t>37</w:t>
      </w:r>
      <w:r w:rsidRPr="00D432B6">
        <w:rPr>
          <w:rFonts w:ascii="Arial" w:hAnsi="Arial" w:cs="Arial"/>
          <w:bCs/>
          <w:sz w:val="18"/>
          <w:szCs w:val="18"/>
        </w:rPr>
        <w:t xml:space="preserve">(5), 513–528. </w:t>
      </w:r>
    </w:p>
    <w:p w:rsidR="00D432B6" w:rsidRPr="00D432B6" w:rsidRDefault="00D432B6" w:rsidP="00D432B6">
      <w:pPr>
        <w:pStyle w:val="a5"/>
        <w:spacing w:line="276" w:lineRule="auto"/>
        <w:ind w:right="103" w:firstLine="710"/>
        <w:rPr>
          <w:rFonts w:ascii="Arial" w:hAnsi="Arial" w:cs="Arial"/>
          <w:bCs/>
          <w:sz w:val="18"/>
          <w:szCs w:val="18"/>
        </w:rPr>
      </w:pPr>
      <w:r w:rsidRPr="00D432B6">
        <w:rPr>
          <w:rFonts w:ascii="Arial" w:hAnsi="Arial" w:cs="Arial"/>
          <w:bCs/>
          <w:sz w:val="18"/>
          <w:szCs w:val="18"/>
        </w:rPr>
        <w:t xml:space="preserve">Zhou L., Li Y., </w:t>
      </w:r>
      <w:proofErr w:type="spellStart"/>
      <w:r w:rsidRPr="00D432B6">
        <w:rPr>
          <w:rFonts w:ascii="Arial" w:hAnsi="Arial" w:cs="Arial"/>
          <w:bCs/>
          <w:sz w:val="18"/>
          <w:szCs w:val="18"/>
        </w:rPr>
        <w:t>Xue</w:t>
      </w:r>
      <w:proofErr w:type="spellEnd"/>
      <w:r w:rsidRPr="00D432B6">
        <w:rPr>
          <w:rFonts w:ascii="Arial" w:hAnsi="Arial" w:cs="Arial"/>
          <w:bCs/>
          <w:sz w:val="18"/>
          <w:szCs w:val="18"/>
        </w:rPr>
        <w:t xml:space="preserve"> G., 1998, A study of electrochemical copolymerization of 3-butylthiophene and 3-bromothiophene, </w:t>
      </w:r>
      <w:r w:rsidRPr="00D432B6">
        <w:rPr>
          <w:rFonts w:ascii="Arial" w:hAnsi="Arial" w:cs="Arial"/>
          <w:bCs/>
          <w:i/>
          <w:iCs/>
          <w:sz w:val="18"/>
          <w:szCs w:val="18"/>
        </w:rPr>
        <w:t>Thin Solid Films</w:t>
      </w:r>
      <w:r w:rsidRPr="00D432B6">
        <w:rPr>
          <w:rFonts w:ascii="Arial" w:hAnsi="Arial" w:cs="Arial"/>
          <w:bCs/>
          <w:sz w:val="18"/>
          <w:szCs w:val="18"/>
        </w:rPr>
        <w:t xml:space="preserve">, </w:t>
      </w:r>
      <w:r w:rsidRPr="00D432B6">
        <w:rPr>
          <w:rFonts w:ascii="Arial" w:hAnsi="Arial" w:cs="Arial"/>
          <w:b/>
          <w:bCs/>
          <w:sz w:val="18"/>
          <w:szCs w:val="18"/>
        </w:rPr>
        <w:t>335</w:t>
      </w:r>
      <w:r w:rsidRPr="00D432B6">
        <w:rPr>
          <w:rFonts w:ascii="Arial" w:hAnsi="Arial" w:cs="Arial"/>
          <w:bCs/>
          <w:sz w:val="18"/>
          <w:szCs w:val="18"/>
        </w:rPr>
        <w:t xml:space="preserve">(1–2), 112–116. </w:t>
      </w:r>
    </w:p>
    <w:p w:rsidR="00583D1D" w:rsidRDefault="00583D1D">
      <w:pPr>
        <w:pStyle w:val="a5"/>
        <w:spacing w:line="276" w:lineRule="auto"/>
        <w:ind w:right="103" w:firstLine="710"/>
        <w:rPr>
          <w:rFonts w:ascii="Arial" w:hAnsi="Arial" w:cs="Arial"/>
          <w:bCs/>
          <w:sz w:val="18"/>
          <w:szCs w:val="18"/>
        </w:rPr>
      </w:pPr>
    </w:p>
    <w:sectPr w:rsidR="00583D1D">
      <w:pgSz w:w="11906" w:h="16838"/>
      <w:pgMar w:top="1701" w:right="1418" w:bottom="170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swiss"/>
    <w:pitch w:val="variable"/>
  </w:font>
  <w:font w:name="Source Han Sans CN">
    <w:panose1 w:val="00000000000000000000"/>
    <w:charset w:val="00"/>
    <w:family w:val="roman"/>
    <w:notTrueType/>
    <w:pitch w:val="default"/>
  </w:font>
  <w:font w:name="Noto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1D"/>
    <w:rsid w:val="00006F5A"/>
    <w:rsid w:val="000A6828"/>
    <w:rsid w:val="000C2BE7"/>
    <w:rsid w:val="002511A9"/>
    <w:rsid w:val="00297CD7"/>
    <w:rsid w:val="002B1F5B"/>
    <w:rsid w:val="002F3AF3"/>
    <w:rsid w:val="004117AF"/>
    <w:rsid w:val="00446AC9"/>
    <w:rsid w:val="004F22E2"/>
    <w:rsid w:val="00583D1D"/>
    <w:rsid w:val="007734BF"/>
    <w:rsid w:val="007861F5"/>
    <w:rsid w:val="007C00E3"/>
    <w:rsid w:val="00892DB7"/>
    <w:rsid w:val="008E0391"/>
    <w:rsid w:val="00935C1C"/>
    <w:rsid w:val="00B347C7"/>
    <w:rsid w:val="00D177F2"/>
    <w:rsid w:val="00D432B6"/>
    <w:rsid w:val="00E931E3"/>
    <w:rsid w:val="00E95B54"/>
    <w:rsid w:val="00EA5116"/>
    <w:rsid w:val="00F112E0"/>
    <w:rsid w:val="00F23D3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B88EE0"/>
  <w15:docId w15:val="{01F42ECB-21AC-4088-9CC6-3D0A13C1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60D07"/>
    <w:rPr>
      <w:color w:val="0563C1" w:themeColor="hyperlink"/>
      <w:u w:val="single"/>
    </w:rPr>
  </w:style>
  <w:style w:type="character" w:customStyle="1" w:styleId="UnresolvedMention">
    <w:name w:val="Unresolved Mention"/>
    <w:basedOn w:val="a0"/>
    <w:uiPriority w:val="99"/>
    <w:semiHidden/>
    <w:unhideWhenUsed/>
    <w:qFormat/>
    <w:rsid w:val="00B60D07"/>
    <w:rPr>
      <w:color w:val="605E5C"/>
      <w:shd w:val="clear" w:color="auto" w:fill="E1DFDD"/>
    </w:rPr>
  </w:style>
  <w:style w:type="character" w:customStyle="1" w:styleId="a4">
    <w:name w:val="Основной текст Знак"/>
    <w:basedOn w:val="a0"/>
    <w:link w:val="a5"/>
    <w:uiPriority w:val="1"/>
    <w:qFormat/>
    <w:rsid w:val="0050581D"/>
    <w:rPr>
      <w:rFonts w:ascii="Times New Roman" w:eastAsia="Times New Roman" w:hAnsi="Times New Roman" w:cs="Times New Roman"/>
      <w:sz w:val="28"/>
      <w:szCs w:val="28"/>
      <w:lang w:val="en-US"/>
    </w:rPr>
  </w:style>
  <w:style w:type="character" w:customStyle="1" w:styleId="a6">
    <w:name w:val="Верхний колонтитул Знак"/>
    <w:basedOn w:val="a0"/>
    <w:link w:val="a7"/>
    <w:uiPriority w:val="99"/>
    <w:qFormat/>
    <w:rsid w:val="00933897"/>
  </w:style>
  <w:style w:type="character" w:customStyle="1" w:styleId="a8">
    <w:name w:val="Нижний колонтитул Знак"/>
    <w:basedOn w:val="a0"/>
    <w:link w:val="a9"/>
    <w:uiPriority w:val="99"/>
    <w:qFormat/>
    <w:rsid w:val="00933897"/>
  </w:style>
  <w:style w:type="paragraph" w:customStyle="1" w:styleId="Heading">
    <w:name w:val="Heading"/>
    <w:basedOn w:val="a"/>
    <w:next w:val="a5"/>
    <w:qFormat/>
    <w:pPr>
      <w:keepNext/>
      <w:spacing w:before="240" w:after="120"/>
    </w:pPr>
    <w:rPr>
      <w:rFonts w:ascii="Liberation Sans" w:eastAsia="Source Han Sans CN" w:hAnsi="Liberation Sans" w:cs="Noto Sans"/>
      <w:sz w:val="28"/>
      <w:szCs w:val="28"/>
    </w:rPr>
  </w:style>
  <w:style w:type="paragraph" w:styleId="a5">
    <w:name w:val="Body Text"/>
    <w:basedOn w:val="a"/>
    <w:link w:val="a4"/>
    <w:uiPriority w:val="1"/>
    <w:qFormat/>
    <w:rsid w:val="0050581D"/>
    <w:pPr>
      <w:widowControl w:val="0"/>
      <w:spacing w:after="0" w:line="240" w:lineRule="auto"/>
      <w:ind w:left="219"/>
      <w:jc w:val="both"/>
    </w:pPr>
    <w:rPr>
      <w:rFonts w:ascii="Times New Roman" w:eastAsia="Times New Roman" w:hAnsi="Times New Roman" w:cs="Times New Roman"/>
      <w:sz w:val="28"/>
      <w:szCs w:val="28"/>
      <w:lang w:val="en-US"/>
    </w:rPr>
  </w:style>
  <w:style w:type="paragraph" w:styleId="aa">
    <w:name w:val="List"/>
    <w:basedOn w:val="a5"/>
    <w:rPr>
      <w:rFonts w:cs="Noto Sans"/>
    </w:rPr>
  </w:style>
  <w:style w:type="paragraph" w:styleId="ab">
    <w:name w:val="caption"/>
    <w:basedOn w:val="a"/>
    <w:qFormat/>
    <w:pPr>
      <w:suppressLineNumbers/>
      <w:spacing w:before="120" w:after="120"/>
    </w:pPr>
    <w:rPr>
      <w:rFonts w:cs="Noto Sans"/>
      <w:i/>
      <w:iCs/>
      <w:sz w:val="24"/>
      <w:szCs w:val="24"/>
    </w:rPr>
  </w:style>
  <w:style w:type="paragraph" w:customStyle="1" w:styleId="Index">
    <w:name w:val="Index"/>
    <w:basedOn w:val="a"/>
    <w:qFormat/>
    <w:pPr>
      <w:suppressLineNumbers/>
    </w:pPr>
    <w:rPr>
      <w:rFonts w:cs="Noto Sans"/>
    </w:rPr>
  </w:style>
  <w:style w:type="paragraph" w:styleId="ac">
    <w:name w:val="List Paragraph"/>
    <w:basedOn w:val="a"/>
    <w:uiPriority w:val="34"/>
    <w:qFormat/>
    <w:rsid w:val="00E72288"/>
    <w:pPr>
      <w:ind w:left="720"/>
      <w:contextualSpacing/>
    </w:pPr>
  </w:style>
  <w:style w:type="paragraph" w:customStyle="1" w:styleId="11">
    <w:name w:val="Заголовок 11"/>
    <w:basedOn w:val="a"/>
    <w:uiPriority w:val="1"/>
    <w:qFormat/>
    <w:rsid w:val="00857753"/>
    <w:pPr>
      <w:widowControl w:val="0"/>
      <w:spacing w:after="0" w:line="240" w:lineRule="auto"/>
      <w:ind w:left="924"/>
      <w:outlineLvl w:val="1"/>
    </w:pPr>
    <w:rPr>
      <w:rFonts w:ascii="Times New Roman" w:eastAsia="Times New Roman" w:hAnsi="Times New Roman" w:cs="Times New Roman"/>
      <w:b/>
      <w:bCs/>
      <w:sz w:val="28"/>
      <w:szCs w:val="28"/>
      <w:lang w:val="en-US"/>
    </w:rPr>
  </w:style>
  <w:style w:type="paragraph" w:customStyle="1" w:styleId="HeaderandFooter">
    <w:name w:val="Header and Footer"/>
    <w:basedOn w:val="a"/>
    <w:qFormat/>
  </w:style>
  <w:style w:type="paragraph" w:styleId="a7">
    <w:name w:val="header"/>
    <w:basedOn w:val="a"/>
    <w:link w:val="a6"/>
    <w:uiPriority w:val="99"/>
    <w:unhideWhenUsed/>
    <w:rsid w:val="00933897"/>
    <w:pPr>
      <w:tabs>
        <w:tab w:val="center" w:pos="4677"/>
        <w:tab w:val="right" w:pos="9355"/>
      </w:tabs>
      <w:spacing w:after="0" w:line="240" w:lineRule="auto"/>
    </w:pPr>
  </w:style>
  <w:style w:type="paragraph" w:styleId="a9">
    <w:name w:val="footer"/>
    <w:basedOn w:val="a"/>
    <w:link w:val="a8"/>
    <w:uiPriority w:val="99"/>
    <w:unhideWhenUsed/>
    <w:rsid w:val="00933897"/>
    <w:pPr>
      <w:tabs>
        <w:tab w:val="center" w:pos="4677"/>
        <w:tab w:val="right" w:pos="9355"/>
      </w:tabs>
      <w:spacing w:after="0" w:line="240" w:lineRule="auto"/>
    </w:pPr>
  </w:style>
  <w:style w:type="paragraph" w:styleId="ad">
    <w:name w:val="Normal (Web)"/>
    <w:basedOn w:val="a"/>
    <w:uiPriority w:val="99"/>
    <w:semiHidden/>
    <w:unhideWhenUsed/>
    <w:qFormat/>
    <w:rsid w:val="006C586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5489">
      <w:bodyDiv w:val="1"/>
      <w:marLeft w:val="0"/>
      <w:marRight w:val="0"/>
      <w:marTop w:val="0"/>
      <w:marBottom w:val="0"/>
      <w:divBdr>
        <w:top w:val="none" w:sz="0" w:space="0" w:color="auto"/>
        <w:left w:val="none" w:sz="0" w:space="0" w:color="auto"/>
        <w:bottom w:val="none" w:sz="0" w:space="0" w:color="auto"/>
        <w:right w:val="none" w:sz="0" w:space="0" w:color="auto"/>
      </w:divBdr>
    </w:div>
    <w:div w:id="150416934">
      <w:bodyDiv w:val="1"/>
      <w:marLeft w:val="0"/>
      <w:marRight w:val="0"/>
      <w:marTop w:val="0"/>
      <w:marBottom w:val="0"/>
      <w:divBdr>
        <w:top w:val="none" w:sz="0" w:space="0" w:color="auto"/>
        <w:left w:val="none" w:sz="0" w:space="0" w:color="auto"/>
        <w:bottom w:val="none" w:sz="0" w:space="0" w:color="auto"/>
        <w:right w:val="none" w:sz="0" w:space="0" w:color="auto"/>
      </w:divBdr>
    </w:div>
    <w:div w:id="189492523">
      <w:bodyDiv w:val="1"/>
      <w:marLeft w:val="0"/>
      <w:marRight w:val="0"/>
      <w:marTop w:val="0"/>
      <w:marBottom w:val="0"/>
      <w:divBdr>
        <w:top w:val="none" w:sz="0" w:space="0" w:color="auto"/>
        <w:left w:val="none" w:sz="0" w:space="0" w:color="auto"/>
        <w:bottom w:val="none" w:sz="0" w:space="0" w:color="auto"/>
        <w:right w:val="none" w:sz="0" w:space="0" w:color="auto"/>
      </w:divBdr>
    </w:div>
    <w:div w:id="599029159">
      <w:bodyDiv w:val="1"/>
      <w:marLeft w:val="0"/>
      <w:marRight w:val="0"/>
      <w:marTop w:val="0"/>
      <w:marBottom w:val="0"/>
      <w:divBdr>
        <w:top w:val="none" w:sz="0" w:space="0" w:color="auto"/>
        <w:left w:val="none" w:sz="0" w:space="0" w:color="auto"/>
        <w:bottom w:val="none" w:sz="0" w:space="0" w:color="auto"/>
        <w:right w:val="none" w:sz="0" w:space="0" w:color="auto"/>
      </w:divBdr>
    </w:div>
    <w:div w:id="814682222">
      <w:bodyDiv w:val="1"/>
      <w:marLeft w:val="0"/>
      <w:marRight w:val="0"/>
      <w:marTop w:val="0"/>
      <w:marBottom w:val="0"/>
      <w:divBdr>
        <w:top w:val="none" w:sz="0" w:space="0" w:color="auto"/>
        <w:left w:val="none" w:sz="0" w:space="0" w:color="auto"/>
        <w:bottom w:val="none" w:sz="0" w:space="0" w:color="auto"/>
        <w:right w:val="none" w:sz="0" w:space="0" w:color="auto"/>
      </w:divBdr>
    </w:div>
    <w:div w:id="1189178230">
      <w:bodyDiv w:val="1"/>
      <w:marLeft w:val="0"/>
      <w:marRight w:val="0"/>
      <w:marTop w:val="0"/>
      <w:marBottom w:val="0"/>
      <w:divBdr>
        <w:top w:val="none" w:sz="0" w:space="0" w:color="auto"/>
        <w:left w:val="none" w:sz="0" w:space="0" w:color="auto"/>
        <w:bottom w:val="none" w:sz="0" w:space="0" w:color="auto"/>
        <w:right w:val="none" w:sz="0" w:space="0" w:color="auto"/>
      </w:divBdr>
    </w:div>
    <w:div w:id="1275559637">
      <w:bodyDiv w:val="1"/>
      <w:marLeft w:val="0"/>
      <w:marRight w:val="0"/>
      <w:marTop w:val="0"/>
      <w:marBottom w:val="0"/>
      <w:divBdr>
        <w:top w:val="none" w:sz="0" w:space="0" w:color="auto"/>
        <w:left w:val="none" w:sz="0" w:space="0" w:color="auto"/>
        <w:bottom w:val="none" w:sz="0" w:space="0" w:color="auto"/>
        <w:right w:val="none" w:sz="0" w:space="0" w:color="auto"/>
      </w:divBdr>
    </w:div>
    <w:div w:id="16110385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wmf"/><Relationship Id="rId5" Type="http://schemas.openxmlformats.org/officeDocument/2006/relationships/image" Target="media/image1.png"/><Relationship Id="rId10" Type="http://schemas.openxmlformats.org/officeDocument/2006/relationships/oleObject" Target="embeddings/oleObject1.bin"/><Relationship Id="rId4" Type="http://schemas.openxmlformats.org/officeDocument/2006/relationships/hyperlink" Target="mailto:l.maxkamova@mail.ru" TargetMode="External"/><Relationship Id="rId9"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793</TotalTime>
  <Pages>6</Pages>
  <Words>3274</Words>
  <Characters>18663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User</cp:lastModifiedBy>
  <cp:revision>270</cp:revision>
  <dcterms:created xsi:type="dcterms:W3CDTF">2026-04-21T09:18:00Z</dcterms:created>
  <dcterms:modified xsi:type="dcterms:W3CDTF">2026-07-21T07:56:00Z</dcterms:modified>
  <dc:language>en-US</dc:language>
</cp:coreProperties>
</file>